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E5" w:rsidRPr="001619EF" w:rsidRDefault="00040DE5" w:rsidP="00040DE5">
      <w:pPr>
        <w:spacing w:after="0"/>
        <w:jc w:val="both"/>
        <w:rPr>
          <w:rFonts w:ascii="Arial" w:eastAsia="MS PGothic" w:hAnsi="Arial" w:cs="Arial"/>
          <w:b/>
          <w:color w:val="000000"/>
          <w:kern w:val="24"/>
          <w:sz w:val="24"/>
          <w:szCs w:val="24"/>
        </w:rPr>
      </w:pPr>
    </w:p>
    <w:p w:rsidR="00040DE5" w:rsidRPr="001339AB" w:rsidRDefault="00040DE5" w:rsidP="00040DE5">
      <w:pPr>
        <w:spacing w:after="0" w:line="276" w:lineRule="auto"/>
        <w:rPr>
          <w:rFonts w:ascii="Arial" w:eastAsia="Calibri" w:hAnsi="Arial" w:cs="Arial"/>
          <w:sz w:val="24"/>
          <w:szCs w:val="24"/>
        </w:rPr>
      </w:pPr>
    </w:p>
    <w:p w:rsidR="00040DE5" w:rsidRPr="00040DE5" w:rsidRDefault="00040DE5" w:rsidP="00040DE5">
      <w:pPr>
        <w:spacing w:after="0"/>
        <w:rPr>
          <w:rFonts w:ascii="Arial" w:eastAsia="Calibri" w:hAnsi="Arial" w:cs="Arial"/>
          <w:b/>
          <w:sz w:val="24"/>
          <w:szCs w:val="24"/>
        </w:rPr>
      </w:pPr>
      <w:bookmarkStart w:id="0" w:name="_GoBack"/>
      <w:r w:rsidRPr="00040DE5">
        <w:rPr>
          <w:rFonts w:ascii="Arial" w:eastAsia="Calibri" w:hAnsi="Arial" w:cs="Arial"/>
          <w:b/>
          <w:sz w:val="24"/>
          <w:szCs w:val="24"/>
        </w:rPr>
        <w:t xml:space="preserve">PREPARATIONS FOR SEASON A 2020 AND PLANS FOR 2020/21 FY </w:t>
      </w:r>
    </w:p>
    <w:bookmarkEnd w:id="0"/>
    <w:p w:rsidR="00040DE5" w:rsidRPr="001339AB" w:rsidRDefault="00040DE5" w:rsidP="00040DE5">
      <w:pPr>
        <w:autoSpaceDE w:val="0"/>
        <w:autoSpaceDN w:val="0"/>
        <w:adjustRightInd w:val="0"/>
        <w:spacing w:after="0" w:line="276" w:lineRule="auto"/>
        <w:contextualSpacing/>
        <w:jc w:val="both"/>
        <w:rPr>
          <w:rFonts w:ascii="Arial" w:eastAsia="Calibri" w:hAnsi="Arial" w:cs="Arial"/>
          <w:b/>
          <w:sz w:val="24"/>
          <w:szCs w:val="24"/>
        </w:rPr>
      </w:pPr>
    </w:p>
    <w:p w:rsidR="00040DE5" w:rsidRPr="0041769A" w:rsidRDefault="00040DE5" w:rsidP="0041769A">
      <w:pPr>
        <w:pStyle w:val="ListParagraph"/>
        <w:numPr>
          <w:ilvl w:val="0"/>
          <w:numId w:val="13"/>
        </w:numPr>
        <w:kinsoku w:val="0"/>
        <w:overflowPunct w:val="0"/>
        <w:spacing w:after="0"/>
        <w:jc w:val="both"/>
        <w:textAlignment w:val="baseline"/>
        <w:rPr>
          <w:rFonts w:ascii="Arial" w:eastAsia="Tahoma" w:hAnsi="Arial" w:cs="Arial"/>
          <w:b/>
          <w:color w:val="000000"/>
          <w:kern w:val="24"/>
          <w:sz w:val="24"/>
          <w:szCs w:val="24"/>
        </w:rPr>
      </w:pPr>
      <w:r w:rsidRPr="0041769A">
        <w:rPr>
          <w:rFonts w:ascii="Arial" w:eastAsia="Tahoma" w:hAnsi="Arial" w:cs="Arial"/>
          <w:b/>
          <w:color w:val="000000"/>
          <w:kern w:val="24"/>
          <w:sz w:val="24"/>
          <w:szCs w:val="24"/>
        </w:rPr>
        <w:t>Preparations for Season A 2020</w:t>
      </w:r>
      <w:r w:rsidR="000728A1">
        <w:rPr>
          <w:rFonts w:ascii="Arial" w:eastAsia="Tahoma" w:hAnsi="Arial" w:cs="Arial"/>
          <w:b/>
          <w:color w:val="000000"/>
          <w:kern w:val="24"/>
          <w:sz w:val="24"/>
          <w:szCs w:val="24"/>
        </w:rPr>
        <w:t xml:space="preserve"> (February – May)</w:t>
      </w:r>
    </w:p>
    <w:p w:rsidR="00040DE5" w:rsidRPr="001339AB" w:rsidRDefault="00040DE5" w:rsidP="00040DE5">
      <w:pPr>
        <w:kinsoku w:val="0"/>
        <w:overflowPunct w:val="0"/>
        <w:spacing w:after="0" w:line="276" w:lineRule="auto"/>
        <w:jc w:val="both"/>
        <w:textAlignment w:val="baseline"/>
        <w:rPr>
          <w:rFonts w:ascii="Arial" w:eastAsia="Tahoma" w:hAnsi="Arial" w:cs="Arial"/>
          <w:b/>
          <w:color w:val="000000"/>
          <w:kern w:val="24"/>
          <w:sz w:val="24"/>
          <w:szCs w:val="24"/>
        </w:rPr>
      </w:pPr>
    </w:p>
    <w:p w:rsidR="000728A1" w:rsidRPr="000728A1" w:rsidRDefault="000728A1" w:rsidP="000728A1">
      <w:pPr>
        <w:pStyle w:val="ListParagraph"/>
        <w:numPr>
          <w:ilvl w:val="0"/>
          <w:numId w:val="2"/>
        </w:numPr>
        <w:kinsoku w:val="0"/>
        <w:overflowPunct w:val="0"/>
        <w:spacing w:after="0"/>
        <w:jc w:val="both"/>
        <w:textAlignment w:val="baseline"/>
        <w:rPr>
          <w:rFonts w:ascii="Arial" w:hAnsi="Arial" w:cs="Arial"/>
          <w:sz w:val="24"/>
          <w:szCs w:val="24"/>
        </w:rPr>
      </w:pPr>
      <w:r>
        <w:rPr>
          <w:rFonts w:ascii="Arial" w:hAnsi="Arial" w:cs="Arial"/>
          <w:sz w:val="24"/>
          <w:szCs w:val="24"/>
        </w:rPr>
        <w:t xml:space="preserve">Due to budget constraints, NAADS/OWC will only focus on the provision </w:t>
      </w:r>
      <w:r w:rsidR="00040DE5" w:rsidRPr="000728A1">
        <w:rPr>
          <w:rFonts w:ascii="Arial" w:eastAsia="Tahoma" w:hAnsi="Arial" w:cs="Arial"/>
          <w:color w:val="000000"/>
          <w:kern w:val="24"/>
          <w:sz w:val="24"/>
          <w:szCs w:val="24"/>
        </w:rPr>
        <w:t xml:space="preserve">of </w:t>
      </w:r>
      <w:r>
        <w:rPr>
          <w:rFonts w:ascii="Arial" w:eastAsia="Tahoma" w:hAnsi="Arial" w:cs="Arial"/>
          <w:color w:val="000000"/>
          <w:kern w:val="24"/>
          <w:sz w:val="24"/>
          <w:szCs w:val="24"/>
        </w:rPr>
        <w:t>Mangoes and Citrus seedlings to selected farmer beneficiaries in Season A (February – May 2020)</w:t>
      </w:r>
    </w:p>
    <w:p w:rsidR="000728A1" w:rsidRPr="000728A1" w:rsidRDefault="000728A1" w:rsidP="000728A1">
      <w:pPr>
        <w:pStyle w:val="ListParagraph"/>
        <w:numPr>
          <w:ilvl w:val="0"/>
          <w:numId w:val="2"/>
        </w:numPr>
        <w:kinsoku w:val="0"/>
        <w:overflowPunct w:val="0"/>
        <w:spacing w:after="0"/>
        <w:jc w:val="both"/>
        <w:textAlignment w:val="baseline"/>
        <w:rPr>
          <w:rFonts w:ascii="Arial" w:hAnsi="Arial" w:cs="Arial"/>
          <w:sz w:val="24"/>
          <w:szCs w:val="24"/>
        </w:rPr>
      </w:pPr>
      <w:r w:rsidRPr="000728A1">
        <w:rPr>
          <w:rFonts w:ascii="Arial" w:hAnsi="Arial" w:cs="Arial"/>
          <w:sz w:val="24"/>
          <w:szCs w:val="24"/>
        </w:rPr>
        <w:t>The distribution will focus on 3 clusters and these include;</w:t>
      </w:r>
    </w:p>
    <w:p w:rsidR="000728A1" w:rsidRDefault="000728A1" w:rsidP="000728A1">
      <w:pPr>
        <w:pStyle w:val="ListParagraph"/>
        <w:numPr>
          <w:ilvl w:val="0"/>
          <w:numId w:val="15"/>
        </w:numPr>
        <w:kinsoku w:val="0"/>
        <w:overflowPunct w:val="0"/>
        <w:spacing w:after="0"/>
        <w:jc w:val="both"/>
        <w:textAlignment w:val="baseline"/>
        <w:rPr>
          <w:rFonts w:ascii="Arial" w:hAnsi="Arial" w:cs="Arial"/>
          <w:sz w:val="24"/>
          <w:szCs w:val="24"/>
        </w:rPr>
      </w:pPr>
      <w:r w:rsidRPr="000728A1">
        <w:rPr>
          <w:rFonts w:ascii="Arial" w:hAnsi="Arial" w:cs="Arial"/>
          <w:b/>
          <w:sz w:val="24"/>
          <w:szCs w:val="24"/>
        </w:rPr>
        <w:t>Nwoya Cluster</w:t>
      </w:r>
      <w:r>
        <w:rPr>
          <w:rFonts w:ascii="Arial" w:hAnsi="Arial" w:cs="Arial"/>
          <w:sz w:val="24"/>
          <w:szCs w:val="24"/>
        </w:rPr>
        <w:t xml:space="preserve"> which covers the four districts of Nwoya, Agago, Gulu and Adjumani</w:t>
      </w:r>
    </w:p>
    <w:p w:rsidR="000728A1" w:rsidRDefault="000728A1" w:rsidP="000728A1">
      <w:pPr>
        <w:pStyle w:val="ListParagraph"/>
        <w:numPr>
          <w:ilvl w:val="0"/>
          <w:numId w:val="15"/>
        </w:numPr>
        <w:kinsoku w:val="0"/>
        <w:overflowPunct w:val="0"/>
        <w:spacing w:after="0"/>
        <w:jc w:val="both"/>
        <w:textAlignment w:val="baseline"/>
        <w:rPr>
          <w:rFonts w:ascii="Arial" w:hAnsi="Arial" w:cs="Arial"/>
          <w:sz w:val="24"/>
          <w:szCs w:val="24"/>
        </w:rPr>
      </w:pPr>
      <w:r w:rsidRPr="000728A1">
        <w:rPr>
          <w:rFonts w:ascii="Arial" w:hAnsi="Arial" w:cs="Arial"/>
          <w:b/>
          <w:sz w:val="24"/>
          <w:szCs w:val="24"/>
        </w:rPr>
        <w:t>Kape</w:t>
      </w:r>
      <w:r w:rsidR="004464B4">
        <w:rPr>
          <w:rFonts w:ascii="Arial" w:hAnsi="Arial" w:cs="Arial"/>
          <w:b/>
          <w:sz w:val="24"/>
          <w:szCs w:val="24"/>
        </w:rPr>
        <w:t>e</w:t>
      </w:r>
      <w:r w:rsidRPr="000728A1">
        <w:rPr>
          <w:rFonts w:ascii="Arial" w:hAnsi="Arial" w:cs="Arial"/>
          <w:b/>
          <w:sz w:val="24"/>
          <w:szCs w:val="24"/>
        </w:rPr>
        <w:t>ka- Nakaseke cluster</w:t>
      </w:r>
      <w:r>
        <w:rPr>
          <w:rFonts w:ascii="Arial" w:hAnsi="Arial" w:cs="Arial"/>
          <w:sz w:val="24"/>
          <w:szCs w:val="24"/>
        </w:rPr>
        <w:t xml:space="preserve"> which covers the three districts of Nakaseke, Nakasongola and Luwero</w:t>
      </w:r>
    </w:p>
    <w:p w:rsidR="000728A1" w:rsidRPr="000728A1" w:rsidRDefault="000728A1" w:rsidP="000728A1">
      <w:pPr>
        <w:pStyle w:val="ListParagraph"/>
        <w:numPr>
          <w:ilvl w:val="0"/>
          <w:numId w:val="15"/>
        </w:numPr>
        <w:kinsoku w:val="0"/>
        <w:overflowPunct w:val="0"/>
        <w:spacing w:after="0"/>
        <w:jc w:val="both"/>
        <w:textAlignment w:val="baseline"/>
        <w:rPr>
          <w:rFonts w:ascii="Arial" w:hAnsi="Arial" w:cs="Arial"/>
          <w:sz w:val="24"/>
          <w:szCs w:val="24"/>
        </w:rPr>
      </w:pPr>
      <w:r w:rsidRPr="000728A1">
        <w:rPr>
          <w:rFonts w:ascii="Arial" w:hAnsi="Arial" w:cs="Arial"/>
          <w:b/>
          <w:sz w:val="24"/>
          <w:szCs w:val="24"/>
        </w:rPr>
        <w:t>Soroti cluster</w:t>
      </w:r>
      <w:r>
        <w:rPr>
          <w:rFonts w:ascii="Arial" w:hAnsi="Arial" w:cs="Arial"/>
          <w:sz w:val="24"/>
          <w:szCs w:val="24"/>
        </w:rPr>
        <w:t xml:space="preserve"> which covers the districts of Soroti, Kumi and Ngora</w:t>
      </w:r>
    </w:p>
    <w:p w:rsidR="000728A1" w:rsidRPr="000728A1" w:rsidRDefault="000728A1" w:rsidP="000728A1">
      <w:pPr>
        <w:kinsoku w:val="0"/>
        <w:overflowPunct w:val="0"/>
        <w:spacing w:after="0"/>
        <w:jc w:val="both"/>
        <w:textAlignment w:val="baseline"/>
        <w:rPr>
          <w:rFonts w:ascii="Arial" w:hAnsi="Arial" w:cs="Arial"/>
          <w:sz w:val="24"/>
          <w:szCs w:val="24"/>
        </w:rPr>
      </w:pPr>
    </w:p>
    <w:p w:rsidR="000728A1" w:rsidRDefault="004464B4" w:rsidP="00040DE5">
      <w:pPr>
        <w:pStyle w:val="ListParagraph"/>
        <w:numPr>
          <w:ilvl w:val="0"/>
          <w:numId w:val="2"/>
        </w:numPr>
        <w:kinsoku w:val="0"/>
        <w:overflowPunct w:val="0"/>
        <w:spacing w:after="0"/>
        <w:jc w:val="both"/>
        <w:textAlignment w:val="baseline"/>
        <w:rPr>
          <w:rFonts w:ascii="Arial" w:hAnsi="Arial" w:cs="Arial"/>
          <w:sz w:val="24"/>
          <w:szCs w:val="24"/>
        </w:rPr>
      </w:pPr>
      <w:r>
        <w:rPr>
          <w:rFonts w:ascii="Arial" w:hAnsi="Arial" w:cs="Arial"/>
          <w:sz w:val="24"/>
          <w:szCs w:val="24"/>
        </w:rPr>
        <w:t>The selection of the clusters was based on areas where Government has established/yet to establish fruit processing facilities.</w:t>
      </w:r>
    </w:p>
    <w:p w:rsidR="004464B4" w:rsidRDefault="004464B4" w:rsidP="004464B4">
      <w:pPr>
        <w:pStyle w:val="ListParagraph"/>
        <w:numPr>
          <w:ilvl w:val="0"/>
          <w:numId w:val="17"/>
        </w:numPr>
        <w:kinsoku w:val="0"/>
        <w:overflowPunct w:val="0"/>
        <w:spacing w:after="0"/>
        <w:jc w:val="both"/>
        <w:textAlignment w:val="baseline"/>
        <w:rPr>
          <w:rFonts w:ascii="Arial" w:hAnsi="Arial" w:cs="Arial"/>
          <w:sz w:val="24"/>
          <w:szCs w:val="24"/>
        </w:rPr>
      </w:pPr>
      <w:r>
        <w:rPr>
          <w:rFonts w:ascii="Arial" w:hAnsi="Arial" w:cs="Arial"/>
          <w:sz w:val="24"/>
          <w:szCs w:val="24"/>
        </w:rPr>
        <w:t>Soroti Fruit factory which is already existion</w:t>
      </w:r>
    </w:p>
    <w:p w:rsidR="004464B4" w:rsidRDefault="004464B4" w:rsidP="004464B4">
      <w:pPr>
        <w:pStyle w:val="ListParagraph"/>
        <w:numPr>
          <w:ilvl w:val="0"/>
          <w:numId w:val="17"/>
        </w:numPr>
        <w:kinsoku w:val="0"/>
        <w:overflowPunct w:val="0"/>
        <w:spacing w:after="0"/>
        <w:jc w:val="both"/>
        <w:textAlignment w:val="baseline"/>
        <w:rPr>
          <w:rFonts w:ascii="Arial" w:hAnsi="Arial" w:cs="Arial"/>
          <w:sz w:val="24"/>
          <w:szCs w:val="24"/>
        </w:rPr>
      </w:pPr>
      <w:r>
        <w:rPr>
          <w:rFonts w:ascii="Arial" w:hAnsi="Arial" w:cs="Arial"/>
          <w:sz w:val="24"/>
          <w:szCs w:val="24"/>
        </w:rPr>
        <w:t>Nwoya Fruit Factory for which construction is to commence soon</w:t>
      </w:r>
    </w:p>
    <w:p w:rsidR="004464B4" w:rsidRDefault="004464B4" w:rsidP="004464B4">
      <w:pPr>
        <w:pStyle w:val="ListParagraph"/>
        <w:numPr>
          <w:ilvl w:val="0"/>
          <w:numId w:val="17"/>
        </w:numPr>
        <w:kinsoku w:val="0"/>
        <w:overflowPunct w:val="0"/>
        <w:spacing w:after="0"/>
        <w:jc w:val="both"/>
        <w:textAlignment w:val="baseline"/>
        <w:rPr>
          <w:rFonts w:ascii="Arial" w:hAnsi="Arial" w:cs="Arial"/>
          <w:sz w:val="24"/>
          <w:szCs w:val="24"/>
        </w:rPr>
      </w:pPr>
      <w:r>
        <w:rPr>
          <w:rFonts w:ascii="Arial" w:hAnsi="Arial" w:cs="Arial"/>
          <w:sz w:val="24"/>
          <w:szCs w:val="24"/>
        </w:rPr>
        <w:t>Kapeeka Fruit factory for which construction is to commence soon</w:t>
      </w:r>
    </w:p>
    <w:p w:rsidR="000728A1" w:rsidRPr="000728A1" w:rsidRDefault="000728A1" w:rsidP="000728A1">
      <w:pPr>
        <w:kinsoku w:val="0"/>
        <w:overflowPunct w:val="0"/>
        <w:spacing w:after="0"/>
        <w:jc w:val="both"/>
        <w:textAlignment w:val="baseline"/>
        <w:rPr>
          <w:rFonts w:ascii="Arial" w:hAnsi="Arial" w:cs="Arial"/>
          <w:sz w:val="24"/>
          <w:szCs w:val="24"/>
        </w:rPr>
      </w:pPr>
    </w:p>
    <w:p w:rsidR="004464B4" w:rsidRDefault="004464B4" w:rsidP="00040DE5">
      <w:pPr>
        <w:pStyle w:val="ListParagraph"/>
        <w:numPr>
          <w:ilvl w:val="0"/>
          <w:numId w:val="2"/>
        </w:numPr>
        <w:kinsoku w:val="0"/>
        <w:overflowPunct w:val="0"/>
        <w:spacing w:after="0"/>
        <w:jc w:val="both"/>
        <w:textAlignment w:val="baseline"/>
        <w:rPr>
          <w:rFonts w:ascii="Arial" w:hAnsi="Arial" w:cs="Arial"/>
          <w:sz w:val="24"/>
          <w:szCs w:val="24"/>
        </w:rPr>
      </w:pPr>
      <w:r>
        <w:rPr>
          <w:rFonts w:ascii="Arial" w:hAnsi="Arial" w:cs="Arial"/>
          <w:sz w:val="24"/>
          <w:szCs w:val="24"/>
        </w:rPr>
        <w:t>Other commodities that have been left out will be catered for in the next FY 2020/21</w:t>
      </w:r>
    </w:p>
    <w:p w:rsidR="004464B4" w:rsidRPr="004464B4" w:rsidRDefault="004464B4" w:rsidP="004464B4">
      <w:pPr>
        <w:pStyle w:val="ListParagraph"/>
        <w:kinsoku w:val="0"/>
        <w:overflowPunct w:val="0"/>
        <w:spacing w:after="0"/>
        <w:jc w:val="both"/>
        <w:textAlignment w:val="baseline"/>
        <w:rPr>
          <w:rFonts w:ascii="Arial" w:hAnsi="Arial" w:cs="Arial"/>
          <w:sz w:val="24"/>
          <w:szCs w:val="24"/>
        </w:rPr>
      </w:pPr>
    </w:p>
    <w:p w:rsidR="000728A1" w:rsidRPr="001339AB" w:rsidRDefault="000728A1" w:rsidP="00040DE5">
      <w:pPr>
        <w:autoSpaceDE w:val="0"/>
        <w:autoSpaceDN w:val="0"/>
        <w:adjustRightInd w:val="0"/>
        <w:spacing w:after="0" w:line="276" w:lineRule="auto"/>
        <w:contextualSpacing/>
        <w:jc w:val="both"/>
        <w:rPr>
          <w:rFonts w:ascii="Arial" w:eastAsia="Calibri" w:hAnsi="Arial" w:cs="Arial"/>
          <w:sz w:val="24"/>
          <w:szCs w:val="24"/>
        </w:rPr>
      </w:pPr>
    </w:p>
    <w:p w:rsidR="00040DE5" w:rsidRPr="0041769A" w:rsidRDefault="00040DE5" w:rsidP="0041769A">
      <w:pPr>
        <w:pStyle w:val="ListParagraph"/>
        <w:numPr>
          <w:ilvl w:val="0"/>
          <w:numId w:val="13"/>
        </w:numPr>
        <w:kinsoku w:val="0"/>
        <w:overflowPunct w:val="0"/>
        <w:spacing w:after="0"/>
        <w:textAlignment w:val="baseline"/>
        <w:rPr>
          <w:rFonts w:ascii="Arial" w:hAnsi="Arial" w:cs="Arial"/>
          <w:b/>
          <w:sz w:val="24"/>
          <w:szCs w:val="24"/>
        </w:rPr>
      </w:pPr>
      <w:r w:rsidRPr="0041769A">
        <w:rPr>
          <w:rFonts w:ascii="Arial" w:eastAsia="Calibri" w:hAnsi="Arial" w:cs="Arial"/>
          <w:b/>
          <w:sz w:val="24"/>
          <w:szCs w:val="24"/>
        </w:rPr>
        <w:t>Plans for 2020/21 FY</w:t>
      </w:r>
    </w:p>
    <w:p w:rsidR="0041769A" w:rsidRDefault="0041769A" w:rsidP="00040DE5">
      <w:pPr>
        <w:spacing w:after="0" w:line="240" w:lineRule="auto"/>
        <w:jc w:val="both"/>
        <w:rPr>
          <w:rFonts w:ascii="Arial" w:eastAsia="Calibri" w:hAnsi="Arial" w:cs="Arial"/>
          <w:sz w:val="24"/>
          <w:szCs w:val="24"/>
        </w:rPr>
      </w:pPr>
    </w:p>
    <w:p w:rsidR="00040DE5" w:rsidRPr="00FC185B" w:rsidRDefault="00040DE5" w:rsidP="00040DE5">
      <w:pPr>
        <w:spacing w:after="0" w:line="240" w:lineRule="auto"/>
        <w:jc w:val="both"/>
        <w:rPr>
          <w:rFonts w:ascii="Arial" w:eastAsia="Calibri" w:hAnsi="Arial" w:cs="Arial"/>
          <w:sz w:val="24"/>
          <w:szCs w:val="24"/>
        </w:rPr>
      </w:pPr>
      <w:r w:rsidRPr="00FC185B">
        <w:rPr>
          <w:rFonts w:ascii="Arial" w:eastAsia="Calibri" w:hAnsi="Arial" w:cs="Arial"/>
          <w:sz w:val="24"/>
          <w:szCs w:val="24"/>
        </w:rPr>
        <w:t xml:space="preserve">The implementation plan for the NAADS interventions for wealth creation the FY 2020/21 will focus more on supporting key strategic commodities with the purpose of concentrating resources to ensure greater impact on household incomes and national export earnings. The support will also take into consideration the </w:t>
      </w:r>
      <w:r w:rsidRPr="00FC185B">
        <w:rPr>
          <w:rFonts w:ascii="Arial" w:eastAsia="Calibri" w:hAnsi="Arial" w:cs="Arial"/>
          <w:sz w:val="24"/>
          <w:szCs w:val="24"/>
          <w:lang w:val="en-GB"/>
        </w:rPr>
        <w:t xml:space="preserve">commodity value chains proposed for the AASP /NDPIII. </w:t>
      </w:r>
      <w:r w:rsidRPr="00FC185B">
        <w:rPr>
          <w:rFonts w:ascii="Arial" w:eastAsia="Calibri" w:hAnsi="Arial" w:cs="Arial"/>
          <w:sz w:val="24"/>
          <w:szCs w:val="24"/>
        </w:rPr>
        <w:t>The support will focus on:</w:t>
      </w:r>
    </w:p>
    <w:p w:rsidR="00040DE5" w:rsidRPr="00FC185B" w:rsidRDefault="00040DE5" w:rsidP="00040DE5">
      <w:pPr>
        <w:numPr>
          <w:ilvl w:val="1"/>
          <w:numId w:val="1"/>
        </w:numPr>
        <w:spacing w:after="200" w:line="240" w:lineRule="auto"/>
        <w:jc w:val="both"/>
        <w:rPr>
          <w:rFonts w:ascii="Arial" w:eastAsia="Calibri" w:hAnsi="Arial" w:cs="Arial"/>
          <w:sz w:val="24"/>
          <w:szCs w:val="24"/>
        </w:rPr>
      </w:pPr>
      <w:r w:rsidRPr="00FC185B">
        <w:rPr>
          <w:rFonts w:ascii="Arial" w:eastAsia="Calibri" w:hAnsi="Arial" w:cs="Arial"/>
          <w:sz w:val="24"/>
          <w:szCs w:val="24"/>
        </w:rPr>
        <w:t xml:space="preserve">Provision of seedlings for the key strategic commodities including Tea, Fruits (Citrus, Mangoes &amp; Pineapple) and  cashew nuts </w:t>
      </w:r>
    </w:p>
    <w:p w:rsidR="00040DE5" w:rsidRPr="00FC185B" w:rsidRDefault="00040DE5" w:rsidP="00040DE5">
      <w:pPr>
        <w:numPr>
          <w:ilvl w:val="1"/>
          <w:numId w:val="1"/>
        </w:numPr>
        <w:spacing w:after="200" w:line="240" w:lineRule="auto"/>
        <w:jc w:val="both"/>
        <w:rPr>
          <w:rFonts w:ascii="Arial" w:eastAsia="Calibri" w:hAnsi="Arial" w:cs="Arial"/>
          <w:sz w:val="24"/>
          <w:szCs w:val="24"/>
        </w:rPr>
      </w:pPr>
      <w:r w:rsidRPr="00FC185B">
        <w:rPr>
          <w:rFonts w:ascii="Arial" w:eastAsia="Calibri" w:hAnsi="Arial" w:cs="Arial"/>
          <w:sz w:val="24"/>
          <w:szCs w:val="24"/>
        </w:rPr>
        <w:t xml:space="preserve">Provision of livestock/stocking materials including pigs, &amp; Cattle dairy </w:t>
      </w:r>
    </w:p>
    <w:p w:rsidR="00040DE5" w:rsidRPr="00FC185B" w:rsidRDefault="00040DE5" w:rsidP="00040DE5">
      <w:pPr>
        <w:numPr>
          <w:ilvl w:val="1"/>
          <w:numId w:val="1"/>
        </w:numPr>
        <w:spacing w:after="200" w:line="240" w:lineRule="auto"/>
        <w:jc w:val="both"/>
        <w:rPr>
          <w:rFonts w:ascii="Arial" w:eastAsia="Calibri" w:hAnsi="Arial" w:cs="Arial"/>
          <w:sz w:val="24"/>
          <w:szCs w:val="24"/>
        </w:rPr>
      </w:pPr>
      <w:r w:rsidRPr="00FC185B">
        <w:rPr>
          <w:rFonts w:ascii="Arial" w:eastAsia="Calibri" w:hAnsi="Arial" w:cs="Arial"/>
          <w:sz w:val="24"/>
          <w:szCs w:val="24"/>
        </w:rPr>
        <w:t xml:space="preserve">Provision of improved seed </w:t>
      </w:r>
      <w:r w:rsidRPr="00FC185B">
        <w:rPr>
          <w:rFonts w:ascii="Arial" w:eastAsia="Calibri" w:hAnsi="Arial" w:cs="Arial"/>
          <w:sz w:val="24"/>
          <w:szCs w:val="24"/>
          <w:lang w:val="en-GB"/>
        </w:rPr>
        <w:t>and vegetative materials</w:t>
      </w:r>
      <w:r w:rsidRPr="00FC185B">
        <w:rPr>
          <w:rFonts w:ascii="Arial" w:eastAsia="Calibri" w:hAnsi="Arial" w:cs="Arial"/>
          <w:sz w:val="24"/>
          <w:szCs w:val="24"/>
        </w:rPr>
        <w:t xml:space="preserve"> for food security interventions i.e maize, sorghum and cassava cuttings.</w:t>
      </w:r>
    </w:p>
    <w:p w:rsidR="00040DE5" w:rsidRPr="00FC185B" w:rsidRDefault="00040DE5" w:rsidP="00040DE5">
      <w:pPr>
        <w:numPr>
          <w:ilvl w:val="1"/>
          <w:numId w:val="1"/>
        </w:numPr>
        <w:spacing w:after="200" w:line="240" w:lineRule="auto"/>
        <w:jc w:val="both"/>
        <w:rPr>
          <w:rFonts w:ascii="Arial" w:eastAsia="Calibri" w:hAnsi="Arial" w:cs="Arial"/>
          <w:sz w:val="24"/>
          <w:szCs w:val="24"/>
        </w:rPr>
      </w:pPr>
      <w:r w:rsidRPr="00FC185B">
        <w:rPr>
          <w:rFonts w:ascii="Arial" w:eastAsia="Calibri" w:hAnsi="Arial" w:cs="Arial"/>
          <w:sz w:val="24"/>
          <w:szCs w:val="24"/>
        </w:rPr>
        <w:t xml:space="preserve">Agro machinery and farm implements for production specifically focusing on provision of </w:t>
      </w:r>
      <w:r w:rsidRPr="00FC185B">
        <w:rPr>
          <w:rFonts w:ascii="Arial" w:eastAsia="Calibri" w:hAnsi="Arial" w:cs="Arial"/>
          <w:i/>
          <w:sz w:val="24"/>
          <w:szCs w:val="24"/>
        </w:rPr>
        <w:t>tractors a</w:t>
      </w:r>
      <w:r w:rsidRPr="00FC185B">
        <w:rPr>
          <w:rFonts w:ascii="Arial" w:eastAsia="Calibri" w:hAnsi="Arial" w:cs="Arial"/>
          <w:sz w:val="24"/>
          <w:szCs w:val="24"/>
        </w:rPr>
        <w:t xml:space="preserve">nd matching implements for farm mechanization and </w:t>
      </w:r>
      <w:r w:rsidRPr="00FC185B">
        <w:rPr>
          <w:rFonts w:ascii="Arial" w:eastAsia="Calibri" w:hAnsi="Arial" w:cs="Arial"/>
          <w:i/>
          <w:sz w:val="24"/>
          <w:szCs w:val="24"/>
        </w:rPr>
        <w:t xml:space="preserve">hand hoes </w:t>
      </w:r>
      <w:r w:rsidRPr="00FC185B">
        <w:rPr>
          <w:rFonts w:ascii="Arial" w:eastAsia="Calibri" w:hAnsi="Arial" w:cs="Arial"/>
          <w:sz w:val="24"/>
          <w:szCs w:val="24"/>
        </w:rPr>
        <w:t>for food security interventions</w:t>
      </w:r>
    </w:p>
    <w:p w:rsidR="00040DE5" w:rsidRPr="00FC185B" w:rsidRDefault="00040DE5" w:rsidP="00040DE5">
      <w:pPr>
        <w:numPr>
          <w:ilvl w:val="1"/>
          <w:numId w:val="1"/>
        </w:numPr>
        <w:spacing w:after="200" w:line="240" w:lineRule="auto"/>
        <w:jc w:val="both"/>
        <w:rPr>
          <w:rFonts w:ascii="Arial" w:eastAsia="Calibri" w:hAnsi="Arial" w:cs="Arial"/>
          <w:sz w:val="24"/>
          <w:szCs w:val="24"/>
        </w:rPr>
      </w:pPr>
      <w:r w:rsidRPr="00FC185B">
        <w:rPr>
          <w:rFonts w:ascii="Arial" w:eastAsia="Calibri" w:hAnsi="Arial" w:cs="Arial"/>
          <w:sz w:val="24"/>
          <w:szCs w:val="24"/>
        </w:rPr>
        <w:lastRenderedPageBreak/>
        <w:t>Value addition particularly focusing on establishment of fruit processing facilities  (mango, citrus and pineapple) to reduce post-harvest losses &amp; increase value of farm produce</w:t>
      </w:r>
    </w:p>
    <w:p w:rsidR="00040DE5" w:rsidRDefault="00040DE5" w:rsidP="00040DE5">
      <w:pPr>
        <w:kinsoku w:val="0"/>
        <w:overflowPunct w:val="0"/>
        <w:spacing w:after="0" w:line="276" w:lineRule="auto"/>
        <w:textAlignment w:val="baseline"/>
        <w:rPr>
          <w:rFonts w:ascii="Arial" w:hAnsi="Arial" w:cs="Arial"/>
          <w:b/>
          <w:sz w:val="24"/>
          <w:szCs w:val="24"/>
        </w:rPr>
      </w:pPr>
    </w:p>
    <w:p w:rsidR="00040DE5" w:rsidRDefault="00040DE5" w:rsidP="0041769A">
      <w:pPr>
        <w:pStyle w:val="ListParagraph"/>
        <w:numPr>
          <w:ilvl w:val="0"/>
          <w:numId w:val="13"/>
        </w:numPr>
        <w:kinsoku w:val="0"/>
        <w:overflowPunct w:val="0"/>
        <w:spacing w:after="0"/>
        <w:textAlignment w:val="baseline"/>
        <w:rPr>
          <w:rFonts w:ascii="Arial" w:hAnsi="Arial" w:cs="Arial"/>
          <w:b/>
          <w:sz w:val="24"/>
          <w:szCs w:val="24"/>
        </w:rPr>
      </w:pPr>
      <w:r w:rsidRPr="0041769A">
        <w:rPr>
          <w:rFonts w:ascii="Arial" w:hAnsi="Arial" w:cs="Arial"/>
          <w:b/>
          <w:sz w:val="24"/>
          <w:szCs w:val="24"/>
        </w:rPr>
        <w:t>OTHER AREAS OF FOCUS FOR 2020/21</w:t>
      </w:r>
    </w:p>
    <w:p w:rsidR="0041769A" w:rsidRPr="0041769A" w:rsidRDefault="0041769A" w:rsidP="0041769A">
      <w:pPr>
        <w:pStyle w:val="ListParagraph"/>
        <w:kinsoku w:val="0"/>
        <w:overflowPunct w:val="0"/>
        <w:spacing w:after="0"/>
        <w:textAlignment w:val="baseline"/>
        <w:rPr>
          <w:rFonts w:ascii="Arial" w:hAnsi="Arial" w:cs="Arial"/>
          <w:b/>
          <w:sz w:val="24"/>
          <w:szCs w:val="24"/>
        </w:rPr>
      </w:pPr>
    </w:p>
    <w:p w:rsidR="00040DE5" w:rsidRPr="0041769A" w:rsidRDefault="00040DE5" w:rsidP="0041769A">
      <w:pPr>
        <w:pStyle w:val="ListParagraph"/>
        <w:numPr>
          <w:ilvl w:val="0"/>
          <w:numId w:val="14"/>
        </w:numPr>
        <w:kinsoku w:val="0"/>
        <w:overflowPunct w:val="0"/>
        <w:spacing w:after="0"/>
        <w:jc w:val="both"/>
        <w:textAlignment w:val="baseline"/>
        <w:rPr>
          <w:rFonts w:ascii="Arial" w:hAnsi="Arial" w:cs="Arial"/>
          <w:b/>
          <w:sz w:val="24"/>
          <w:szCs w:val="24"/>
        </w:rPr>
      </w:pPr>
      <w:r w:rsidRPr="0041769A">
        <w:rPr>
          <w:rFonts w:ascii="Arial" w:eastAsia="Calibri" w:hAnsi="Arial" w:cs="Arial"/>
          <w:b/>
          <w:sz w:val="24"/>
          <w:szCs w:val="24"/>
        </w:rPr>
        <w:t>Implementation of Area Based Commodity Cluster Model</w:t>
      </w:r>
      <w:r w:rsidRPr="0041769A">
        <w:rPr>
          <w:rFonts w:ascii="Arial" w:eastAsia="Calibri" w:hAnsi="Arial" w:cs="Arial"/>
          <w:sz w:val="24"/>
          <w:szCs w:val="24"/>
        </w:rPr>
        <w:t>. Beginning 2020/21 FY, the distribution of planting materials will be concentrated in areas within the vicinity of the emerging grain and fruit processing facilities for agro industrialisation. Similarly, the distribution of dairy heifers will be in the vicinity of milk coolers and mini dairy processing facilities.</w:t>
      </w:r>
    </w:p>
    <w:p w:rsidR="00040DE5" w:rsidRPr="001339AB" w:rsidRDefault="00040DE5" w:rsidP="00040DE5">
      <w:pPr>
        <w:pStyle w:val="ListParagraph"/>
        <w:spacing w:line="240" w:lineRule="auto"/>
        <w:jc w:val="both"/>
        <w:rPr>
          <w:rFonts w:ascii="Arial" w:eastAsia="Calibri" w:hAnsi="Arial" w:cs="Arial"/>
          <w:sz w:val="24"/>
          <w:szCs w:val="24"/>
        </w:rPr>
      </w:pPr>
    </w:p>
    <w:p w:rsidR="00040DE5" w:rsidRDefault="00040DE5" w:rsidP="00040DE5">
      <w:pPr>
        <w:pStyle w:val="ListParagraph"/>
        <w:spacing w:line="240" w:lineRule="auto"/>
        <w:jc w:val="both"/>
        <w:rPr>
          <w:rFonts w:ascii="Arial" w:eastAsia="Calibri" w:hAnsi="Arial" w:cs="Arial"/>
          <w:sz w:val="24"/>
          <w:szCs w:val="24"/>
        </w:rPr>
      </w:pPr>
      <w:r w:rsidRPr="001339AB">
        <w:rPr>
          <w:rFonts w:ascii="Arial" w:eastAsia="Calibri" w:hAnsi="Arial" w:cs="Arial"/>
          <w:sz w:val="24"/>
          <w:szCs w:val="24"/>
        </w:rPr>
        <w:t>These interventions will target Area Based Commodity Clusters in the selected parts of Uganda in line with the agriculture zoning strategy. A commodity cluster will be made up of a number of districts in close proximity and serves to concentrate value chain actors (Input distributors, Producers, traders, processors, transporters, financial service providers etc.) with experience in the commodity, provide requisite infrastructure that, taken together provide opportunities for success in scaling up and development of the relevant commodity value chains.</w:t>
      </w:r>
    </w:p>
    <w:p w:rsidR="00040DE5" w:rsidRPr="001339AB" w:rsidRDefault="00040DE5" w:rsidP="00040DE5">
      <w:pPr>
        <w:pStyle w:val="ListParagraph"/>
        <w:spacing w:line="240" w:lineRule="auto"/>
        <w:jc w:val="both"/>
        <w:rPr>
          <w:rFonts w:ascii="Arial" w:eastAsia="Calibri" w:hAnsi="Arial" w:cs="Arial"/>
          <w:sz w:val="24"/>
          <w:szCs w:val="24"/>
        </w:rPr>
      </w:pPr>
    </w:p>
    <w:p w:rsidR="00040DE5" w:rsidRPr="0041769A" w:rsidRDefault="00040DE5" w:rsidP="0041769A">
      <w:pPr>
        <w:pStyle w:val="ListParagraph"/>
        <w:numPr>
          <w:ilvl w:val="0"/>
          <w:numId w:val="14"/>
        </w:numPr>
        <w:spacing w:after="0" w:line="240" w:lineRule="auto"/>
        <w:jc w:val="both"/>
        <w:rPr>
          <w:rFonts w:ascii="Arial" w:eastAsia="Calibri" w:hAnsi="Arial" w:cs="Arial"/>
          <w:sz w:val="24"/>
          <w:szCs w:val="24"/>
        </w:rPr>
      </w:pPr>
      <w:r w:rsidRPr="0041769A">
        <w:rPr>
          <w:rFonts w:ascii="Arial" w:eastAsia="Calibri" w:hAnsi="Arial" w:cs="Arial"/>
          <w:b/>
          <w:sz w:val="24"/>
          <w:szCs w:val="24"/>
        </w:rPr>
        <w:t>Revitalizing the role of Farmers and Farmer Organizations (FOs</w:t>
      </w:r>
      <w:r w:rsidRPr="0041769A">
        <w:rPr>
          <w:rFonts w:ascii="Arial" w:eastAsia="Calibri" w:hAnsi="Arial" w:cs="Arial"/>
          <w:sz w:val="24"/>
          <w:szCs w:val="24"/>
        </w:rPr>
        <w:t>) in the implementation of NAADS interventions in Wealth Creation will also be concentrated within the supported commodity clusters. The farmer committees and institutions working together with the parish chiefs as well as the extension workers will mobilize individual farmers to participate in the NAADS interventions to facilitate input distribution, storage and marketing. The model whose pilot phase was implemented in 14 districts of Apac, Kapchorwa, Mayuge, Mityana, Nakaseke, Hoima, Soroti, Ntungamo,  Masindi, Bushenyi, Tororo, Kiboga, Wakiso and Moyo will be adopted within the supported commodity clusters and scaled up and rolled over to other commodity clusters within new DLGs and during the subsequent FY</w:t>
      </w:r>
    </w:p>
    <w:p w:rsidR="00040DE5" w:rsidRPr="00FC185B" w:rsidRDefault="00040DE5" w:rsidP="00040DE5">
      <w:pPr>
        <w:spacing w:after="0" w:line="240" w:lineRule="auto"/>
        <w:jc w:val="both"/>
        <w:rPr>
          <w:rFonts w:ascii="Arial" w:eastAsia="Calibri" w:hAnsi="Arial" w:cs="Arial"/>
          <w:sz w:val="24"/>
          <w:szCs w:val="24"/>
        </w:rPr>
      </w:pPr>
    </w:p>
    <w:p w:rsidR="00040DE5" w:rsidRDefault="00040DE5" w:rsidP="0041769A">
      <w:pPr>
        <w:pStyle w:val="ListParagraph"/>
        <w:numPr>
          <w:ilvl w:val="0"/>
          <w:numId w:val="14"/>
        </w:numPr>
        <w:spacing w:line="240" w:lineRule="auto"/>
        <w:jc w:val="both"/>
        <w:rPr>
          <w:rFonts w:ascii="Arial" w:eastAsia="Calibri" w:hAnsi="Arial" w:cs="Arial"/>
          <w:sz w:val="24"/>
          <w:szCs w:val="24"/>
        </w:rPr>
      </w:pPr>
      <w:r w:rsidRPr="001339AB">
        <w:rPr>
          <w:rFonts w:ascii="Arial" w:eastAsia="Calibri" w:hAnsi="Arial" w:cs="Arial"/>
          <w:b/>
          <w:sz w:val="24"/>
          <w:szCs w:val="24"/>
        </w:rPr>
        <w:t>Support to Parish model farmers in every district:</w:t>
      </w:r>
      <w:r w:rsidRPr="001339AB">
        <w:rPr>
          <w:rFonts w:ascii="Arial" w:eastAsia="Calibri" w:hAnsi="Arial" w:cs="Arial"/>
          <w:sz w:val="24"/>
          <w:szCs w:val="24"/>
        </w:rPr>
        <w:t xml:space="preserve"> NAADS interventions for wealth creation will be focused to support one model farmer per parish in line with the Area Based Commodity Clusters.</w:t>
      </w:r>
    </w:p>
    <w:p w:rsidR="00040DE5" w:rsidRPr="001339AB" w:rsidRDefault="00040DE5" w:rsidP="00040DE5">
      <w:pPr>
        <w:pStyle w:val="ListParagraph"/>
        <w:rPr>
          <w:rFonts w:ascii="Arial" w:eastAsia="Calibri" w:hAnsi="Arial" w:cs="Arial"/>
          <w:b/>
          <w:sz w:val="24"/>
          <w:szCs w:val="24"/>
        </w:rPr>
      </w:pPr>
    </w:p>
    <w:p w:rsidR="00040DE5" w:rsidRDefault="00040DE5" w:rsidP="0041769A">
      <w:pPr>
        <w:pStyle w:val="ListParagraph"/>
        <w:numPr>
          <w:ilvl w:val="0"/>
          <w:numId w:val="14"/>
        </w:numPr>
        <w:spacing w:line="240" w:lineRule="auto"/>
        <w:jc w:val="both"/>
        <w:rPr>
          <w:rFonts w:ascii="Arial" w:eastAsia="Calibri" w:hAnsi="Arial" w:cs="Arial"/>
          <w:sz w:val="24"/>
          <w:szCs w:val="24"/>
        </w:rPr>
      </w:pPr>
      <w:r w:rsidRPr="001339AB">
        <w:rPr>
          <w:rFonts w:ascii="Arial" w:eastAsia="Calibri" w:hAnsi="Arial" w:cs="Arial"/>
          <w:b/>
          <w:sz w:val="24"/>
          <w:szCs w:val="24"/>
        </w:rPr>
        <w:t xml:space="preserve">Support establishment of Rural Farmer Service Centers: </w:t>
      </w:r>
      <w:r w:rsidRPr="001339AB">
        <w:rPr>
          <w:rFonts w:ascii="Arial" w:eastAsia="Calibri" w:hAnsi="Arial" w:cs="Arial"/>
          <w:sz w:val="24"/>
          <w:szCs w:val="24"/>
        </w:rPr>
        <w:t>NAADS will work closely with other stakeholders to establish RFSCs to complement the area commodity based clusters. The RFSC is a one-stop center where farmers can get access to extension services, agricultural inputs including seed, livestock, planting materials, agrochemicals, hired farm equipment among others and also have access to value addition, agricultural finance and market linkages services.</w:t>
      </w:r>
    </w:p>
    <w:p w:rsidR="00040DE5" w:rsidRPr="001339AB" w:rsidRDefault="00040DE5" w:rsidP="00040DE5">
      <w:pPr>
        <w:pStyle w:val="ListParagraph"/>
        <w:rPr>
          <w:rFonts w:ascii="Arial" w:eastAsia="Calibri" w:hAnsi="Arial" w:cs="Arial"/>
          <w:b/>
          <w:sz w:val="24"/>
          <w:szCs w:val="24"/>
        </w:rPr>
      </w:pPr>
    </w:p>
    <w:p w:rsidR="00040DE5" w:rsidRPr="001339AB" w:rsidRDefault="00040DE5" w:rsidP="0041769A">
      <w:pPr>
        <w:pStyle w:val="ListParagraph"/>
        <w:numPr>
          <w:ilvl w:val="0"/>
          <w:numId w:val="14"/>
        </w:numPr>
        <w:spacing w:line="240" w:lineRule="auto"/>
        <w:jc w:val="both"/>
        <w:rPr>
          <w:rFonts w:ascii="Arial" w:eastAsia="Calibri" w:hAnsi="Arial" w:cs="Arial"/>
          <w:sz w:val="24"/>
          <w:szCs w:val="24"/>
        </w:rPr>
      </w:pPr>
      <w:r w:rsidRPr="001339AB">
        <w:rPr>
          <w:rFonts w:ascii="Arial" w:eastAsia="Calibri" w:hAnsi="Arial" w:cs="Arial"/>
          <w:b/>
          <w:sz w:val="24"/>
          <w:szCs w:val="24"/>
        </w:rPr>
        <w:t xml:space="preserve">Nucleus Farmer Zoning Model: </w:t>
      </w:r>
      <w:r w:rsidRPr="001339AB">
        <w:rPr>
          <w:rFonts w:ascii="Arial" w:eastAsia="Calibri" w:hAnsi="Arial" w:cs="Arial"/>
          <w:sz w:val="24"/>
          <w:szCs w:val="24"/>
        </w:rPr>
        <w:t xml:space="preserve">Beginning FY 2020/21, government will roll out a   nucleus farmer strategy to reorganize zonal agricultural interventions under the </w:t>
      </w:r>
      <w:r w:rsidRPr="001339AB">
        <w:rPr>
          <w:rFonts w:ascii="Arial" w:eastAsia="Calibri" w:hAnsi="Arial" w:cs="Arial"/>
          <w:sz w:val="24"/>
          <w:szCs w:val="24"/>
        </w:rPr>
        <w:lastRenderedPageBreak/>
        <w:t>commodity approach. This strategy provides an alternative method of channeling Government resources to increase production, productivity and value addition in the agriculture sector. It enables engagement of progressive/successful farmers at sub-county and regional level as an engine for increased production. Government interventions will be along the promoted value chains according to the production zones, which will be sub-divided into sub-zones as districts, sub-counties and parishes. The focus will be put on production of high value commodities to suit the domestic, regional and international market preferences.  Each region will produce commodity varieties to fit existing demand.</w:t>
      </w:r>
    </w:p>
    <w:p w:rsidR="00040DE5" w:rsidRPr="001339AB" w:rsidRDefault="00040DE5" w:rsidP="00040DE5">
      <w:pPr>
        <w:kinsoku w:val="0"/>
        <w:overflowPunct w:val="0"/>
        <w:spacing w:after="0"/>
        <w:ind w:left="360"/>
        <w:jc w:val="both"/>
        <w:textAlignment w:val="baseline"/>
        <w:rPr>
          <w:rFonts w:ascii="Arial" w:hAnsi="Arial" w:cs="Arial"/>
          <w:b/>
          <w:sz w:val="24"/>
          <w:szCs w:val="24"/>
        </w:rPr>
      </w:pPr>
    </w:p>
    <w:p w:rsidR="00040DE5" w:rsidRPr="00F066F5" w:rsidRDefault="00040DE5" w:rsidP="0041769A">
      <w:pPr>
        <w:pStyle w:val="ListParagraph"/>
        <w:numPr>
          <w:ilvl w:val="0"/>
          <w:numId w:val="14"/>
        </w:numPr>
        <w:kinsoku w:val="0"/>
        <w:overflowPunct w:val="0"/>
        <w:spacing w:after="0"/>
        <w:jc w:val="both"/>
        <w:textAlignment w:val="baseline"/>
        <w:rPr>
          <w:rFonts w:ascii="Arial" w:hAnsi="Arial" w:cs="Arial"/>
          <w:b/>
          <w:sz w:val="24"/>
          <w:szCs w:val="24"/>
        </w:rPr>
      </w:pPr>
      <w:r w:rsidRPr="001339AB">
        <w:rPr>
          <w:rFonts w:ascii="Arial" w:hAnsi="Arial" w:cs="Arial"/>
          <w:b/>
          <w:sz w:val="24"/>
          <w:szCs w:val="24"/>
        </w:rPr>
        <w:t>Establishment of 2 Industrial Parks in Rwenzori Region</w:t>
      </w:r>
      <w:r>
        <w:rPr>
          <w:rFonts w:ascii="Arial" w:hAnsi="Arial" w:cs="Arial"/>
          <w:b/>
          <w:sz w:val="24"/>
          <w:szCs w:val="24"/>
        </w:rPr>
        <w:t>:</w:t>
      </w:r>
      <w:r>
        <w:rPr>
          <w:rFonts w:ascii="Arial" w:hAnsi="Arial" w:cs="Arial"/>
          <w:sz w:val="24"/>
          <w:szCs w:val="24"/>
        </w:rPr>
        <w:t xml:space="preserve"> </w:t>
      </w:r>
      <w:r w:rsidRPr="001339AB">
        <w:rPr>
          <w:rFonts w:ascii="Arial" w:hAnsi="Arial" w:cs="Arial"/>
          <w:sz w:val="24"/>
          <w:szCs w:val="24"/>
        </w:rPr>
        <w:t>Government through NAADS is in advance stages of establishing 2 industrial parks in Rwenzori Region. Government has set aside UGX 10bn this Financial Year to establish 2 industrial parks in Kabarole and Kasese districts under the Agricultural Local Economic De</w:t>
      </w:r>
      <w:r>
        <w:rPr>
          <w:rFonts w:ascii="Arial" w:hAnsi="Arial" w:cs="Arial"/>
          <w:sz w:val="24"/>
          <w:szCs w:val="24"/>
        </w:rPr>
        <w:t>velopment Initiative (AGRI-LED)</w:t>
      </w:r>
    </w:p>
    <w:p w:rsidR="00040DE5" w:rsidRPr="00F066F5" w:rsidRDefault="00040DE5" w:rsidP="00040DE5">
      <w:pPr>
        <w:pStyle w:val="ListParagraph"/>
        <w:rPr>
          <w:rFonts w:ascii="Arial" w:eastAsia="Tahoma" w:hAnsi="Arial" w:cs="Arial"/>
          <w:color w:val="000000"/>
          <w:kern w:val="24"/>
          <w:sz w:val="24"/>
          <w:szCs w:val="24"/>
        </w:rPr>
      </w:pPr>
    </w:p>
    <w:p w:rsidR="00040DE5" w:rsidRDefault="00040DE5" w:rsidP="00040DE5">
      <w:pPr>
        <w:pStyle w:val="ListParagraph"/>
        <w:kinsoku w:val="0"/>
        <w:overflowPunct w:val="0"/>
        <w:spacing w:after="0"/>
        <w:jc w:val="both"/>
        <w:textAlignment w:val="baseline"/>
        <w:rPr>
          <w:rFonts w:ascii="Arial" w:eastAsia="Tahoma" w:hAnsi="Arial" w:cs="Arial"/>
          <w:bCs/>
          <w:iCs/>
          <w:color w:val="000000"/>
          <w:kern w:val="24"/>
          <w:sz w:val="24"/>
          <w:szCs w:val="24"/>
        </w:rPr>
      </w:pPr>
      <w:r w:rsidRPr="00F066F5">
        <w:rPr>
          <w:rFonts w:ascii="Arial" w:eastAsia="Tahoma" w:hAnsi="Arial" w:cs="Arial"/>
          <w:color w:val="000000"/>
          <w:kern w:val="24"/>
          <w:sz w:val="24"/>
          <w:szCs w:val="24"/>
        </w:rPr>
        <w:t xml:space="preserve">The Agri-LED strategic interventions are being piloted in Rwenzori sub region and will facilitate projects towards Public Investment Management for Agro Industrialization for: </w:t>
      </w:r>
      <w:r w:rsidRPr="00F066F5">
        <w:rPr>
          <w:rFonts w:ascii="Arial" w:eastAsia="Tahoma" w:hAnsi="Arial" w:cs="Arial"/>
          <w:bCs/>
          <w:iCs/>
          <w:color w:val="000000"/>
          <w:kern w:val="24"/>
          <w:sz w:val="24"/>
          <w:szCs w:val="24"/>
        </w:rPr>
        <w:t>Kabarole Industrial Park and Kasese Industrial Park</w:t>
      </w:r>
    </w:p>
    <w:p w:rsidR="0041769A" w:rsidRDefault="0041769A" w:rsidP="00040DE5">
      <w:pPr>
        <w:pStyle w:val="ListParagraph"/>
        <w:kinsoku w:val="0"/>
        <w:overflowPunct w:val="0"/>
        <w:spacing w:after="0"/>
        <w:jc w:val="both"/>
        <w:textAlignment w:val="baseline"/>
        <w:rPr>
          <w:rFonts w:ascii="Arial" w:eastAsia="Tahoma" w:hAnsi="Arial" w:cs="Arial"/>
          <w:bCs/>
          <w:iCs/>
          <w:color w:val="000000"/>
          <w:kern w:val="24"/>
          <w:sz w:val="24"/>
          <w:szCs w:val="24"/>
        </w:rPr>
      </w:pPr>
    </w:p>
    <w:p w:rsidR="0041769A" w:rsidRDefault="0041769A" w:rsidP="00040DE5">
      <w:pPr>
        <w:pStyle w:val="ListParagraph"/>
        <w:kinsoku w:val="0"/>
        <w:overflowPunct w:val="0"/>
        <w:spacing w:after="0"/>
        <w:jc w:val="both"/>
        <w:textAlignment w:val="baseline"/>
        <w:rPr>
          <w:rFonts w:ascii="Arial" w:eastAsia="Tahoma" w:hAnsi="Arial" w:cs="Arial"/>
          <w:bCs/>
          <w:iCs/>
          <w:color w:val="000000"/>
          <w:kern w:val="24"/>
          <w:sz w:val="24"/>
          <w:szCs w:val="24"/>
        </w:rPr>
      </w:pPr>
    </w:p>
    <w:p w:rsidR="0041769A" w:rsidRPr="0041769A" w:rsidRDefault="0041769A" w:rsidP="00040DE5">
      <w:pPr>
        <w:pStyle w:val="ListParagraph"/>
        <w:kinsoku w:val="0"/>
        <w:overflowPunct w:val="0"/>
        <w:spacing w:after="0"/>
        <w:jc w:val="both"/>
        <w:textAlignment w:val="baseline"/>
        <w:rPr>
          <w:rFonts w:ascii="Arial" w:hAnsi="Arial" w:cs="Arial"/>
          <w:b/>
          <w:sz w:val="24"/>
          <w:szCs w:val="24"/>
        </w:rPr>
      </w:pPr>
      <w:r w:rsidRPr="0041769A">
        <w:rPr>
          <w:rFonts w:ascii="Arial" w:eastAsia="Tahoma" w:hAnsi="Arial" w:cs="Arial"/>
          <w:b/>
          <w:bCs/>
          <w:iCs/>
          <w:color w:val="000000"/>
          <w:kern w:val="24"/>
          <w:sz w:val="24"/>
          <w:szCs w:val="24"/>
        </w:rPr>
        <w:t>Ends………..</w:t>
      </w:r>
    </w:p>
    <w:p w:rsidR="00040DE5" w:rsidRPr="0041769A" w:rsidRDefault="00040DE5" w:rsidP="00040DE5">
      <w:pPr>
        <w:spacing w:after="0" w:line="240" w:lineRule="auto"/>
        <w:jc w:val="both"/>
        <w:rPr>
          <w:rFonts w:ascii="Arial" w:eastAsia="Tahoma" w:hAnsi="Arial" w:cs="Arial"/>
          <w:b/>
          <w:bCs/>
          <w:iCs/>
          <w:color w:val="000000"/>
          <w:kern w:val="24"/>
          <w:sz w:val="24"/>
          <w:szCs w:val="24"/>
        </w:rPr>
      </w:pPr>
    </w:p>
    <w:p w:rsidR="00040DE5" w:rsidRDefault="00040DE5" w:rsidP="00040DE5">
      <w:pPr>
        <w:spacing w:after="0" w:line="360" w:lineRule="auto"/>
        <w:rPr>
          <w:rFonts w:ascii="Arial" w:eastAsia="Tahoma" w:hAnsi="Arial" w:cs="Arial"/>
          <w:bCs/>
          <w:iCs/>
          <w:color w:val="000000"/>
          <w:kern w:val="24"/>
          <w:sz w:val="24"/>
          <w:szCs w:val="24"/>
        </w:rPr>
      </w:pPr>
    </w:p>
    <w:p w:rsidR="00040DE5" w:rsidRDefault="00040DE5" w:rsidP="00040DE5">
      <w:pPr>
        <w:spacing w:after="0" w:line="360" w:lineRule="auto"/>
        <w:rPr>
          <w:rFonts w:ascii="Arial" w:eastAsia="Tahoma" w:hAnsi="Arial" w:cs="Arial"/>
          <w:bCs/>
          <w:iCs/>
          <w:color w:val="000000"/>
          <w:kern w:val="24"/>
          <w:sz w:val="24"/>
          <w:szCs w:val="24"/>
        </w:rPr>
      </w:pPr>
    </w:p>
    <w:sectPr w:rsidR="00040DE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FB" w:rsidRDefault="00F875FB">
      <w:pPr>
        <w:spacing w:after="0" w:line="240" w:lineRule="auto"/>
      </w:pPr>
      <w:r>
        <w:separator/>
      </w:r>
    </w:p>
  </w:endnote>
  <w:endnote w:type="continuationSeparator" w:id="0">
    <w:p w:rsidR="00F875FB" w:rsidRDefault="00F8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091847"/>
      <w:docPartObj>
        <w:docPartGallery w:val="Page Numbers (Bottom of Page)"/>
        <w:docPartUnique/>
      </w:docPartObj>
    </w:sdtPr>
    <w:sdtEndPr>
      <w:rPr>
        <w:noProof/>
      </w:rPr>
    </w:sdtEndPr>
    <w:sdtContent>
      <w:p w:rsidR="00AD6DF7" w:rsidRDefault="0041769A">
        <w:pPr>
          <w:pStyle w:val="Footer"/>
        </w:pPr>
        <w:r>
          <w:fldChar w:fldCharType="begin"/>
        </w:r>
        <w:r>
          <w:instrText xml:space="preserve"> PAGE   \* MERGEFORMAT </w:instrText>
        </w:r>
        <w:r>
          <w:fldChar w:fldCharType="separate"/>
        </w:r>
        <w:r w:rsidR="00696230">
          <w:rPr>
            <w:noProof/>
          </w:rPr>
          <w:t>1</w:t>
        </w:r>
        <w:r>
          <w:rPr>
            <w:noProof/>
          </w:rPr>
          <w:fldChar w:fldCharType="end"/>
        </w:r>
      </w:p>
    </w:sdtContent>
  </w:sdt>
  <w:p w:rsidR="00AD6DF7" w:rsidRDefault="00F8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FB" w:rsidRDefault="00F875FB">
      <w:pPr>
        <w:spacing w:after="0" w:line="240" w:lineRule="auto"/>
      </w:pPr>
      <w:r>
        <w:separator/>
      </w:r>
    </w:p>
  </w:footnote>
  <w:footnote w:type="continuationSeparator" w:id="0">
    <w:p w:rsidR="00F875FB" w:rsidRDefault="00F87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9E"/>
    <w:multiLevelType w:val="hybridMultilevel"/>
    <w:tmpl w:val="A9D8581A"/>
    <w:lvl w:ilvl="0" w:tplc="70F29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EF"/>
    <w:multiLevelType w:val="hybridMultilevel"/>
    <w:tmpl w:val="5888D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5012"/>
    <w:multiLevelType w:val="hybridMultilevel"/>
    <w:tmpl w:val="DE7277B8"/>
    <w:lvl w:ilvl="0" w:tplc="8DC2C9CA">
      <w:start w:val="3"/>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D75F4"/>
    <w:multiLevelType w:val="multilevel"/>
    <w:tmpl w:val="D62E448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23C3A88"/>
    <w:multiLevelType w:val="hybridMultilevel"/>
    <w:tmpl w:val="868AD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102B58"/>
    <w:multiLevelType w:val="hybridMultilevel"/>
    <w:tmpl w:val="883E2F00"/>
    <w:lvl w:ilvl="0" w:tplc="B9AA3174">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E3880"/>
    <w:multiLevelType w:val="hybridMultilevel"/>
    <w:tmpl w:val="5DBA003E"/>
    <w:lvl w:ilvl="0" w:tplc="93F0C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E081F"/>
    <w:multiLevelType w:val="hybridMultilevel"/>
    <w:tmpl w:val="72A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66EC0"/>
    <w:multiLevelType w:val="hybridMultilevel"/>
    <w:tmpl w:val="2D4AB49C"/>
    <w:lvl w:ilvl="0" w:tplc="8DC2C9CA">
      <w:start w:val="3"/>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884844"/>
    <w:multiLevelType w:val="hybridMultilevel"/>
    <w:tmpl w:val="4A2E3270"/>
    <w:lvl w:ilvl="0" w:tplc="7C124B86">
      <w:start w:val="1"/>
      <w:numFmt w:val="lowerLetter"/>
      <w:lvlText w:val="%1)"/>
      <w:lvlJc w:val="left"/>
      <w:pPr>
        <w:tabs>
          <w:tab w:val="num" w:pos="720"/>
        </w:tabs>
        <w:ind w:left="720" w:hanging="360"/>
      </w:pPr>
    </w:lvl>
    <w:lvl w:ilvl="1" w:tplc="A0AA03F6">
      <w:numFmt w:val="bullet"/>
      <w:lvlText w:val="–"/>
      <w:lvlJc w:val="left"/>
      <w:pPr>
        <w:tabs>
          <w:tab w:val="num" w:pos="1440"/>
        </w:tabs>
        <w:ind w:left="1440" w:hanging="360"/>
      </w:pPr>
      <w:rPr>
        <w:rFonts w:ascii="Arial" w:hAnsi="Arial" w:hint="default"/>
      </w:rPr>
    </w:lvl>
    <w:lvl w:ilvl="2" w:tplc="50DC9AF4" w:tentative="1">
      <w:start w:val="1"/>
      <w:numFmt w:val="lowerLetter"/>
      <w:lvlText w:val="%3)"/>
      <w:lvlJc w:val="left"/>
      <w:pPr>
        <w:tabs>
          <w:tab w:val="num" w:pos="2160"/>
        </w:tabs>
        <w:ind w:left="2160" w:hanging="360"/>
      </w:pPr>
    </w:lvl>
    <w:lvl w:ilvl="3" w:tplc="173494A4" w:tentative="1">
      <w:start w:val="1"/>
      <w:numFmt w:val="lowerLetter"/>
      <w:lvlText w:val="%4)"/>
      <w:lvlJc w:val="left"/>
      <w:pPr>
        <w:tabs>
          <w:tab w:val="num" w:pos="2880"/>
        </w:tabs>
        <w:ind w:left="2880" w:hanging="360"/>
      </w:pPr>
    </w:lvl>
    <w:lvl w:ilvl="4" w:tplc="D6DEADB0" w:tentative="1">
      <w:start w:val="1"/>
      <w:numFmt w:val="lowerLetter"/>
      <w:lvlText w:val="%5)"/>
      <w:lvlJc w:val="left"/>
      <w:pPr>
        <w:tabs>
          <w:tab w:val="num" w:pos="3600"/>
        </w:tabs>
        <w:ind w:left="3600" w:hanging="360"/>
      </w:pPr>
    </w:lvl>
    <w:lvl w:ilvl="5" w:tplc="CDA258B4" w:tentative="1">
      <w:start w:val="1"/>
      <w:numFmt w:val="lowerLetter"/>
      <w:lvlText w:val="%6)"/>
      <w:lvlJc w:val="left"/>
      <w:pPr>
        <w:tabs>
          <w:tab w:val="num" w:pos="4320"/>
        </w:tabs>
        <w:ind w:left="4320" w:hanging="360"/>
      </w:pPr>
    </w:lvl>
    <w:lvl w:ilvl="6" w:tplc="77487D64" w:tentative="1">
      <w:start w:val="1"/>
      <w:numFmt w:val="lowerLetter"/>
      <w:lvlText w:val="%7)"/>
      <w:lvlJc w:val="left"/>
      <w:pPr>
        <w:tabs>
          <w:tab w:val="num" w:pos="5040"/>
        </w:tabs>
        <w:ind w:left="5040" w:hanging="360"/>
      </w:pPr>
    </w:lvl>
    <w:lvl w:ilvl="7" w:tplc="FE00D9B2" w:tentative="1">
      <w:start w:val="1"/>
      <w:numFmt w:val="lowerLetter"/>
      <w:lvlText w:val="%8)"/>
      <w:lvlJc w:val="left"/>
      <w:pPr>
        <w:tabs>
          <w:tab w:val="num" w:pos="5760"/>
        </w:tabs>
        <w:ind w:left="5760" w:hanging="360"/>
      </w:pPr>
    </w:lvl>
    <w:lvl w:ilvl="8" w:tplc="0E089BB0" w:tentative="1">
      <w:start w:val="1"/>
      <w:numFmt w:val="lowerLetter"/>
      <w:lvlText w:val="%9)"/>
      <w:lvlJc w:val="left"/>
      <w:pPr>
        <w:tabs>
          <w:tab w:val="num" w:pos="6480"/>
        </w:tabs>
        <w:ind w:left="6480" w:hanging="360"/>
      </w:pPr>
    </w:lvl>
  </w:abstractNum>
  <w:abstractNum w:abstractNumId="10">
    <w:nsid w:val="5CB835C4"/>
    <w:multiLevelType w:val="hybridMultilevel"/>
    <w:tmpl w:val="A650E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FF64E8"/>
    <w:multiLevelType w:val="hybridMultilevel"/>
    <w:tmpl w:val="E17A9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D12CEA"/>
    <w:multiLevelType w:val="hybridMultilevel"/>
    <w:tmpl w:val="34146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11AD9"/>
    <w:multiLevelType w:val="hybridMultilevel"/>
    <w:tmpl w:val="4FAE371A"/>
    <w:lvl w:ilvl="0" w:tplc="8DC2C9CA">
      <w:start w:val="3"/>
      <w:numFmt w:val="bullet"/>
      <w:lvlText w:val="-"/>
      <w:lvlJc w:val="left"/>
      <w:pPr>
        <w:ind w:left="1440" w:hanging="360"/>
      </w:pPr>
      <w:rPr>
        <w:rFonts w:ascii="Tahoma" w:eastAsiaTheme="minorHAns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8354A6"/>
    <w:multiLevelType w:val="hybridMultilevel"/>
    <w:tmpl w:val="5992A7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6556A58"/>
    <w:multiLevelType w:val="hybridMultilevel"/>
    <w:tmpl w:val="F43E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AD62A0"/>
    <w:multiLevelType w:val="hybridMultilevel"/>
    <w:tmpl w:val="9E164F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12"/>
  </w:num>
  <w:num w:numId="5">
    <w:abstractNumId w:val="10"/>
  </w:num>
  <w:num w:numId="6">
    <w:abstractNumId w:val="15"/>
  </w:num>
  <w:num w:numId="7">
    <w:abstractNumId w:val="14"/>
  </w:num>
  <w:num w:numId="8">
    <w:abstractNumId w:val="16"/>
  </w:num>
  <w:num w:numId="9">
    <w:abstractNumId w:val="0"/>
  </w:num>
  <w:num w:numId="10">
    <w:abstractNumId w:val="7"/>
  </w:num>
  <w:num w:numId="11">
    <w:abstractNumId w:val="4"/>
  </w:num>
  <w:num w:numId="12">
    <w:abstractNumId w:val="2"/>
  </w:num>
  <w:num w:numId="13">
    <w:abstractNumId w:val="6"/>
  </w:num>
  <w:num w:numId="14">
    <w:abstractNumId w:val="5"/>
  </w:num>
  <w:num w:numId="15">
    <w:abstractNumId w:val="8"/>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E5"/>
    <w:rsid w:val="00040DE5"/>
    <w:rsid w:val="000728A1"/>
    <w:rsid w:val="0020407B"/>
    <w:rsid w:val="0038337B"/>
    <w:rsid w:val="003C6EC0"/>
    <w:rsid w:val="0041769A"/>
    <w:rsid w:val="004464B4"/>
    <w:rsid w:val="005F0216"/>
    <w:rsid w:val="00696230"/>
    <w:rsid w:val="007D0AFA"/>
    <w:rsid w:val="008E6BAF"/>
    <w:rsid w:val="00D4402B"/>
    <w:rsid w:val="00E25CF3"/>
    <w:rsid w:val="00E828DA"/>
    <w:rsid w:val="00E85DB1"/>
    <w:rsid w:val="00F8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2E186-4F64-4665-A12B-CA13961F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Heading3,Bullets,List Paragraph (numbered (a)),Numbered List Paragraph,LIST OF TABLES."/>
    <w:basedOn w:val="Normal"/>
    <w:link w:val="ListParagraphChar"/>
    <w:qFormat/>
    <w:rsid w:val="00040DE5"/>
    <w:pPr>
      <w:spacing w:after="200" w:line="276" w:lineRule="auto"/>
      <w:ind w:left="720"/>
      <w:contextualSpacing/>
    </w:pPr>
    <w:rPr>
      <w:lang w:val="en-GB"/>
    </w:rPr>
  </w:style>
  <w:style w:type="character" w:customStyle="1" w:styleId="ListParagraphChar">
    <w:name w:val="List Paragraph Char"/>
    <w:aliases w:val="MCHIP_list paragraph Char,List Paragraph1 Char,Recommendation Char,Bullet List Char,FooterText Char,Heading3 Char,Bullets Char,List Paragraph (numbered (a)) Char,Numbered List Paragraph Char,LIST OF TABLES. Char"/>
    <w:link w:val="ListParagraph"/>
    <w:rsid w:val="00040DE5"/>
    <w:rPr>
      <w:lang w:val="en-GB"/>
    </w:rPr>
  </w:style>
  <w:style w:type="paragraph" w:styleId="Footer">
    <w:name w:val="footer"/>
    <w:basedOn w:val="Normal"/>
    <w:link w:val="FooterChar"/>
    <w:uiPriority w:val="99"/>
    <w:unhideWhenUsed/>
    <w:rsid w:val="0004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E5"/>
  </w:style>
  <w:style w:type="paragraph" w:styleId="BalloonText">
    <w:name w:val="Balloon Text"/>
    <w:basedOn w:val="Normal"/>
    <w:link w:val="BalloonTextChar"/>
    <w:uiPriority w:val="99"/>
    <w:semiHidden/>
    <w:unhideWhenUsed/>
    <w:rsid w:val="00E2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nakakande</dc:creator>
  <cp:lastModifiedBy>User</cp:lastModifiedBy>
  <cp:revision>2</cp:revision>
  <cp:lastPrinted>2020-01-14T07:02:00Z</cp:lastPrinted>
  <dcterms:created xsi:type="dcterms:W3CDTF">2020-01-15T05:12:00Z</dcterms:created>
  <dcterms:modified xsi:type="dcterms:W3CDTF">2020-01-15T05:12:00Z</dcterms:modified>
</cp:coreProperties>
</file>