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B6" w:rsidRPr="007F1726" w:rsidRDefault="00D171B6" w:rsidP="00D57148">
      <w:pPr>
        <w:pStyle w:val="NoSpacing"/>
        <w:ind w:left="360"/>
        <w:jc w:val="center"/>
        <w:rPr>
          <w:rFonts w:ascii="Times New Roman" w:hAnsi="Times New Roman" w:cs="Times New Roman"/>
          <w:b/>
          <w:bCs/>
          <w:sz w:val="32"/>
          <w:szCs w:val="32"/>
        </w:rPr>
      </w:pPr>
      <w:bookmarkStart w:id="0" w:name="_GoBack"/>
      <w:bookmarkEnd w:id="0"/>
      <w:r w:rsidRPr="007F1726">
        <w:rPr>
          <w:rFonts w:ascii="Times New Roman" w:hAnsi="Times New Roman" w:cs="Times New Roman"/>
          <w:b/>
          <w:bCs/>
          <w:noProof/>
          <w:sz w:val="32"/>
          <w:szCs w:val="32"/>
        </w:rPr>
        <w:drawing>
          <wp:inline distT="0" distB="0" distL="0" distR="0" wp14:anchorId="1B7CB46A" wp14:editId="1A21FC02">
            <wp:extent cx="1257599"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535" cy="1255649"/>
                    </a:xfrm>
                    <a:prstGeom prst="rect">
                      <a:avLst/>
                    </a:prstGeom>
                    <a:noFill/>
                    <a:ln>
                      <a:noFill/>
                    </a:ln>
                  </pic:spPr>
                </pic:pic>
              </a:graphicData>
            </a:graphic>
          </wp:inline>
        </w:drawing>
      </w:r>
    </w:p>
    <w:p w:rsidR="00FF3596" w:rsidRPr="007F1726" w:rsidRDefault="00FF3596" w:rsidP="0023501F">
      <w:pPr>
        <w:pStyle w:val="NoSpacing"/>
        <w:jc w:val="both"/>
        <w:rPr>
          <w:rFonts w:ascii="Times New Roman" w:hAnsi="Times New Roman" w:cs="Times New Roman"/>
          <w:b/>
          <w:bCs/>
          <w:sz w:val="32"/>
          <w:szCs w:val="32"/>
        </w:rPr>
      </w:pPr>
    </w:p>
    <w:p w:rsidR="00BE04A1" w:rsidRPr="007F1726" w:rsidRDefault="00BE04A1" w:rsidP="00D57148">
      <w:pPr>
        <w:pStyle w:val="NoSpacing"/>
        <w:jc w:val="center"/>
        <w:rPr>
          <w:rFonts w:ascii="Times New Roman" w:hAnsi="Times New Roman" w:cs="Times New Roman"/>
          <w:b/>
          <w:bCs/>
          <w:sz w:val="32"/>
          <w:szCs w:val="32"/>
        </w:rPr>
      </w:pPr>
      <w:r w:rsidRPr="007F1726">
        <w:rPr>
          <w:rFonts w:ascii="Times New Roman" w:hAnsi="Times New Roman" w:cs="Times New Roman"/>
          <w:b/>
          <w:bCs/>
          <w:sz w:val="32"/>
          <w:szCs w:val="32"/>
        </w:rPr>
        <w:t>PRESS STATEMENT</w:t>
      </w:r>
    </w:p>
    <w:p w:rsidR="00BE04A1" w:rsidRPr="007F1726" w:rsidRDefault="00BE04A1" w:rsidP="0023501F">
      <w:pPr>
        <w:pStyle w:val="NoSpacing"/>
        <w:jc w:val="both"/>
        <w:rPr>
          <w:rFonts w:ascii="Times New Roman" w:hAnsi="Times New Roman" w:cs="Times New Roman"/>
          <w:b/>
          <w:bCs/>
          <w:sz w:val="32"/>
          <w:szCs w:val="32"/>
        </w:rPr>
      </w:pPr>
    </w:p>
    <w:p w:rsidR="00BE04A1" w:rsidRPr="007F1726" w:rsidRDefault="00BE04A1" w:rsidP="0023501F">
      <w:pPr>
        <w:pStyle w:val="NoSpacing"/>
        <w:jc w:val="both"/>
        <w:rPr>
          <w:rFonts w:ascii="Times New Roman" w:hAnsi="Times New Roman" w:cs="Times New Roman"/>
          <w:b/>
          <w:bCs/>
          <w:sz w:val="32"/>
          <w:szCs w:val="32"/>
        </w:rPr>
      </w:pPr>
      <w:r w:rsidRPr="007F1726">
        <w:rPr>
          <w:rFonts w:ascii="Times New Roman" w:hAnsi="Times New Roman" w:cs="Times New Roman"/>
          <w:b/>
          <w:bCs/>
          <w:sz w:val="32"/>
          <w:szCs w:val="32"/>
        </w:rPr>
        <w:t>4</w:t>
      </w:r>
      <w:r w:rsidRPr="007F1726">
        <w:rPr>
          <w:rFonts w:ascii="Times New Roman" w:hAnsi="Times New Roman" w:cs="Times New Roman"/>
          <w:b/>
          <w:bCs/>
          <w:sz w:val="32"/>
          <w:szCs w:val="32"/>
          <w:vertAlign w:val="superscript"/>
        </w:rPr>
        <w:t>th</w:t>
      </w:r>
      <w:r w:rsidRPr="007F1726">
        <w:rPr>
          <w:rFonts w:ascii="Times New Roman" w:hAnsi="Times New Roman" w:cs="Times New Roman"/>
          <w:b/>
          <w:bCs/>
          <w:sz w:val="32"/>
          <w:szCs w:val="32"/>
        </w:rPr>
        <w:t xml:space="preserve"> July 2024</w:t>
      </w:r>
    </w:p>
    <w:p w:rsidR="00BE04A1" w:rsidRPr="007F1726" w:rsidRDefault="00BE04A1" w:rsidP="0023501F">
      <w:pPr>
        <w:pStyle w:val="NoSpacing"/>
        <w:jc w:val="both"/>
        <w:rPr>
          <w:rFonts w:ascii="Times New Roman" w:hAnsi="Times New Roman" w:cs="Times New Roman"/>
          <w:b/>
          <w:bCs/>
          <w:sz w:val="32"/>
          <w:szCs w:val="32"/>
        </w:rPr>
      </w:pPr>
    </w:p>
    <w:p w:rsidR="00D171B6" w:rsidRPr="007F1726" w:rsidRDefault="00BE04A1" w:rsidP="0023501F">
      <w:pPr>
        <w:pStyle w:val="NoSpacing"/>
        <w:jc w:val="both"/>
        <w:rPr>
          <w:rFonts w:ascii="Times New Roman" w:hAnsi="Times New Roman" w:cs="Times New Roman"/>
          <w:b/>
          <w:bCs/>
          <w:sz w:val="32"/>
          <w:szCs w:val="32"/>
        </w:rPr>
      </w:pPr>
      <w:r w:rsidRPr="007F1726">
        <w:rPr>
          <w:rFonts w:ascii="Times New Roman" w:hAnsi="Times New Roman" w:cs="Times New Roman"/>
          <w:b/>
          <w:bCs/>
          <w:sz w:val="32"/>
          <w:szCs w:val="32"/>
        </w:rPr>
        <w:t>For Immediate Release</w:t>
      </w:r>
    </w:p>
    <w:p w:rsidR="00FF3596" w:rsidRPr="007F1726" w:rsidRDefault="00FF3596" w:rsidP="0023501F">
      <w:pPr>
        <w:pStyle w:val="BodyText"/>
        <w:spacing w:after="0" w:line="276" w:lineRule="auto"/>
        <w:rPr>
          <w:rFonts w:ascii="Times New Roman" w:hAnsi="Times New Roman" w:cs="Times New Roman"/>
          <w:b/>
          <w:sz w:val="32"/>
          <w:szCs w:val="32"/>
        </w:rPr>
      </w:pPr>
    </w:p>
    <w:p w:rsidR="00D171B6" w:rsidRPr="007F1726" w:rsidRDefault="00FF3596" w:rsidP="0023501F">
      <w:pPr>
        <w:spacing w:after="0" w:line="276" w:lineRule="auto"/>
        <w:jc w:val="both"/>
        <w:rPr>
          <w:rFonts w:ascii="Times New Roman" w:hAnsi="Times New Roman" w:cs="Times New Roman"/>
          <w:b/>
          <w:bCs/>
          <w:sz w:val="32"/>
          <w:szCs w:val="32"/>
        </w:rPr>
      </w:pPr>
      <w:r w:rsidRPr="007F1726">
        <w:rPr>
          <w:rFonts w:ascii="Times New Roman" w:hAnsi="Times New Roman" w:cs="Times New Roman"/>
          <w:b/>
          <w:bCs/>
          <w:sz w:val="32"/>
          <w:szCs w:val="32"/>
        </w:rPr>
        <w:t>P</w:t>
      </w:r>
      <w:r w:rsidR="00BE04A1" w:rsidRPr="007F1726">
        <w:rPr>
          <w:rFonts w:ascii="Times New Roman" w:hAnsi="Times New Roman" w:cs="Times New Roman"/>
          <w:b/>
          <w:bCs/>
          <w:sz w:val="32"/>
          <w:szCs w:val="32"/>
        </w:rPr>
        <w:t>OWER</w:t>
      </w:r>
      <w:r w:rsidRPr="007F1726">
        <w:rPr>
          <w:rFonts w:ascii="Times New Roman" w:hAnsi="Times New Roman" w:cs="Times New Roman"/>
          <w:b/>
          <w:bCs/>
          <w:sz w:val="32"/>
          <w:szCs w:val="32"/>
        </w:rPr>
        <w:t xml:space="preserve"> &amp; E</w:t>
      </w:r>
      <w:r w:rsidR="00BE04A1" w:rsidRPr="007F1726">
        <w:rPr>
          <w:rFonts w:ascii="Times New Roman" w:hAnsi="Times New Roman" w:cs="Times New Roman"/>
          <w:b/>
          <w:bCs/>
          <w:sz w:val="32"/>
          <w:szCs w:val="32"/>
        </w:rPr>
        <w:t>LEC.</w:t>
      </w:r>
      <w:r w:rsidRPr="007F1726">
        <w:rPr>
          <w:rFonts w:ascii="Times New Roman" w:hAnsi="Times New Roman" w:cs="Times New Roman"/>
          <w:b/>
          <w:bCs/>
          <w:sz w:val="32"/>
          <w:szCs w:val="32"/>
        </w:rPr>
        <w:t xml:space="preserve"> U</w:t>
      </w:r>
      <w:r w:rsidR="00BE04A1" w:rsidRPr="007F1726">
        <w:rPr>
          <w:rFonts w:ascii="Times New Roman" w:hAnsi="Times New Roman" w:cs="Times New Roman"/>
          <w:b/>
          <w:bCs/>
          <w:sz w:val="32"/>
          <w:szCs w:val="32"/>
        </w:rPr>
        <w:t>GANDA</w:t>
      </w:r>
      <w:r w:rsidRPr="007F1726">
        <w:rPr>
          <w:rFonts w:ascii="Times New Roman" w:hAnsi="Times New Roman" w:cs="Times New Roman"/>
          <w:b/>
          <w:bCs/>
          <w:sz w:val="32"/>
          <w:szCs w:val="32"/>
        </w:rPr>
        <w:t xml:space="preserve"> I</w:t>
      </w:r>
      <w:r w:rsidR="00BE04A1" w:rsidRPr="007F1726">
        <w:rPr>
          <w:rFonts w:ascii="Times New Roman" w:hAnsi="Times New Roman" w:cs="Times New Roman"/>
          <w:b/>
          <w:bCs/>
          <w:sz w:val="32"/>
          <w:szCs w:val="32"/>
        </w:rPr>
        <w:t>NTERNATIONAL EXPO</w:t>
      </w:r>
      <w:r w:rsidRPr="007F1726">
        <w:rPr>
          <w:rFonts w:ascii="Times New Roman" w:hAnsi="Times New Roman" w:cs="Times New Roman"/>
          <w:b/>
          <w:bCs/>
          <w:sz w:val="32"/>
          <w:szCs w:val="32"/>
        </w:rPr>
        <w:t xml:space="preserve"> 2024</w:t>
      </w:r>
      <w:r w:rsidR="00BE04A1" w:rsidRPr="007F1726">
        <w:rPr>
          <w:rFonts w:ascii="Times New Roman" w:hAnsi="Times New Roman" w:cs="Times New Roman"/>
          <w:b/>
          <w:bCs/>
          <w:sz w:val="32"/>
          <w:szCs w:val="32"/>
        </w:rPr>
        <w:t>, 2</w:t>
      </w:r>
      <w:r w:rsidR="00BE04A1" w:rsidRPr="007F1726">
        <w:rPr>
          <w:rFonts w:ascii="Times New Roman" w:hAnsi="Times New Roman" w:cs="Times New Roman"/>
          <w:b/>
          <w:bCs/>
          <w:sz w:val="32"/>
          <w:szCs w:val="32"/>
          <w:vertAlign w:val="superscript"/>
        </w:rPr>
        <w:t>ND</w:t>
      </w:r>
      <w:r w:rsidR="00BE04A1" w:rsidRPr="007F1726">
        <w:rPr>
          <w:rFonts w:ascii="Times New Roman" w:hAnsi="Times New Roman" w:cs="Times New Roman"/>
          <w:b/>
          <w:bCs/>
          <w:sz w:val="32"/>
          <w:szCs w:val="32"/>
        </w:rPr>
        <w:t xml:space="preserve"> EDITION</w:t>
      </w:r>
    </w:p>
    <w:p w:rsidR="00BE04A1" w:rsidRPr="007F1726" w:rsidRDefault="00BE04A1" w:rsidP="0023501F">
      <w:pPr>
        <w:pStyle w:val="NormalWeb"/>
        <w:jc w:val="both"/>
        <w:rPr>
          <w:sz w:val="32"/>
          <w:szCs w:val="32"/>
        </w:rPr>
      </w:pPr>
      <w:r w:rsidRPr="007F1726">
        <w:rPr>
          <w:sz w:val="32"/>
          <w:szCs w:val="32"/>
        </w:rPr>
        <w:t>Kampala, Uganda, 4th July 2024 – The Ministry of Energy and Mineral Development (MEMD), in partnership with Exhibitions &amp; Trade Services India Limited</w:t>
      </w:r>
      <w:r w:rsidR="006E77B8" w:rsidRPr="007F1726">
        <w:rPr>
          <w:sz w:val="32"/>
          <w:szCs w:val="32"/>
        </w:rPr>
        <w:t xml:space="preserve"> (ETSIPL)</w:t>
      </w:r>
      <w:r w:rsidRPr="007F1726">
        <w:rPr>
          <w:sz w:val="32"/>
          <w:szCs w:val="32"/>
        </w:rPr>
        <w:t xml:space="preserve">, the Uganda National Renewable Energy and Energy Efficiency Alliance (UNREEEA), is pleased to announce the second edition of the Power and Electricity Uganda International Expo 2024. This event is scheduled to take place from </w:t>
      </w:r>
      <w:r w:rsidR="00D57148" w:rsidRPr="007F1726">
        <w:rPr>
          <w:sz w:val="32"/>
          <w:szCs w:val="32"/>
        </w:rPr>
        <w:t>11</w:t>
      </w:r>
      <w:r w:rsidR="00D57148" w:rsidRPr="007F1726">
        <w:rPr>
          <w:sz w:val="32"/>
          <w:szCs w:val="32"/>
          <w:vertAlign w:val="superscript"/>
        </w:rPr>
        <w:t>th</w:t>
      </w:r>
      <w:r w:rsidR="00D57148" w:rsidRPr="007F1726">
        <w:rPr>
          <w:sz w:val="32"/>
          <w:szCs w:val="32"/>
        </w:rPr>
        <w:t xml:space="preserve"> to</w:t>
      </w:r>
      <w:r w:rsidRPr="007F1726">
        <w:rPr>
          <w:sz w:val="32"/>
          <w:szCs w:val="32"/>
        </w:rPr>
        <w:t xml:space="preserve"> </w:t>
      </w:r>
      <w:r w:rsidR="00D57148" w:rsidRPr="007F1726">
        <w:rPr>
          <w:sz w:val="32"/>
          <w:szCs w:val="32"/>
        </w:rPr>
        <w:t>13</w:t>
      </w:r>
      <w:r w:rsidR="00D57148" w:rsidRPr="007F1726">
        <w:rPr>
          <w:sz w:val="32"/>
          <w:szCs w:val="32"/>
          <w:vertAlign w:val="superscript"/>
        </w:rPr>
        <w:t>th</w:t>
      </w:r>
      <w:r w:rsidR="00D57148" w:rsidRPr="007F1726">
        <w:rPr>
          <w:sz w:val="32"/>
          <w:szCs w:val="32"/>
        </w:rPr>
        <w:t xml:space="preserve"> July</w:t>
      </w:r>
      <w:r w:rsidRPr="007F1726">
        <w:rPr>
          <w:sz w:val="32"/>
          <w:szCs w:val="32"/>
        </w:rPr>
        <w:t xml:space="preserve"> 2024 at the UMA Show Grounds, </w:t>
      </w:r>
      <w:proofErr w:type="spellStart"/>
      <w:r w:rsidRPr="007F1726">
        <w:rPr>
          <w:sz w:val="32"/>
          <w:szCs w:val="32"/>
        </w:rPr>
        <w:t>Lugogo</w:t>
      </w:r>
      <w:proofErr w:type="spellEnd"/>
      <w:r w:rsidRPr="007F1726">
        <w:rPr>
          <w:sz w:val="32"/>
          <w:szCs w:val="32"/>
        </w:rPr>
        <w:t xml:space="preserve">, </w:t>
      </w:r>
      <w:proofErr w:type="gramStart"/>
      <w:r w:rsidRPr="007F1726">
        <w:rPr>
          <w:sz w:val="32"/>
          <w:szCs w:val="32"/>
        </w:rPr>
        <w:t>Kampala</w:t>
      </w:r>
      <w:proofErr w:type="gramEnd"/>
      <w:r w:rsidRPr="007F1726">
        <w:rPr>
          <w:sz w:val="32"/>
          <w:szCs w:val="32"/>
        </w:rPr>
        <w:t>, Uganda.</w:t>
      </w:r>
    </w:p>
    <w:p w:rsidR="00F548BE" w:rsidRPr="007F1726" w:rsidRDefault="00F548BE" w:rsidP="0023501F">
      <w:pPr>
        <w:pStyle w:val="NormalWeb"/>
        <w:jc w:val="both"/>
        <w:rPr>
          <w:sz w:val="32"/>
          <w:szCs w:val="32"/>
        </w:rPr>
      </w:pPr>
      <w:r w:rsidRPr="007F1726">
        <w:rPr>
          <w:sz w:val="32"/>
          <w:szCs w:val="32"/>
        </w:rPr>
        <w:t xml:space="preserve">Organized under the theme </w:t>
      </w:r>
      <w:r w:rsidRPr="007F1726">
        <w:rPr>
          <w:b/>
          <w:i/>
          <w:sz w:val="32"/>
          <w:szCs w:val="32"/>
        </w:rPr>
        <w:t>“Connect with the Power, Energy, Electrical, Electronics, Lighting, Renewable and Solar and Related Industries in Uganda,”</w:t>
      </w:r>
      <w:r w:rsidRPr="007F1726">
        <w:rPr>
          <w:sz w:val="32"/>
          <w:szCs w:val="32"/>
        </w:rPr>
        <w:t xml:space="preserve"> the Power and </w:t>
      </w:r>
      <w:proofErr w:type="spellStart"/>
      <w:r w:rsidRPr="007F1726">
        <w:rPr>
          <w:sz w:val="32"/>
          <w:szCs w:val="32"/>
        </w:rPr>
        <w:t>Elec</w:t>
      </w:r>
      <w:proofErr w:type="spellEnd"/>
      <w:r w:rsidRPr="007F1726">
        <w:rPr>
          <w:sz w:val="32"/>
          <w:szCs w:val="32"/>
        </w:rPr>
        <w:t xml:space="preserve"> International Expo 2024 aims to promote innovative technologies, create awareness, and foster sustainable collaborations in the power sector.</w:t>
      </w:r>
    </w:p>
    <w:p w:rsidR="0023501F" w:rsidRPr="007F1726" w:rsidRDefault="0023501F" w:rsidP="0023501F">
      <w:pPr>
        <w:pStyle w:val="NormalWeb"/>
        <w:jc w:val="both"/>
        <w:rPr>
          <w:sz w:val="32"/>
          <w:szCs w:val="32"/>
        </w:rPr>
      </w:pPr>
      <w:r w:rsidRPr="007F1726">
        <w:rPr>
          <w:sz w:val="32"/>
          <w:szCs w:val="32"/>
        </w:rPr>
        <w:t xml:space="preserve">The Expo brings together several stakeholders ranging from </w:t>
      </w:r>
      <w:r w:rsidR="00F71262">
        <w:rPr>
          <w:sz w:val="32"/>
          <w:szCs w:val="32"/>
        </w:rPr>
        <w:t>policymakers</w:t>
      </w:r>
      <w:r w:rsidR="00262A16" w:rsidRPr="007F1726">
        <w:rPr>
          <w:sz w:val="32"/>
          <w:szCs w:val="32"/>
        </w:rPr>
        <w:t xml:space="preserve">, Regulators, </w:t>
      </w:r>
      <w:r w:rsidRPr="007F1726">
        <w:rPr>
          <w:sz w:val="32"/>
          <w:szCs w:val="32"/>
        </w:rPr>
        <w:t xml:space="preserve">manufacturers and suppliers of power products to importers and exporters dealing in </w:t>
      </w:r>
      <w:proofErr w:type="spellStart"/>
      <w:r w:rsidRPr="007F1726">
        <w:rPr>
          <w:sz w:val="32"/>
          <w:szCs w:val="32"/>
        </w:rPr>
        <w:t>electricals</w:t>
      </w:r>
      <w:proofErr w:type="spellEnd"/>
      <w:r w:rsidRPr="007F1726">
        <w:rPr>
          <w:sz w:val="32"/>
          <w:szCs w:val="32"/>
        </w:rPr>
        <w:t>, electronics, renewable, and solar products and other Renewable Energy technologies.</w:t>
      </w:r>
    </w:p>
    <w:p w:rsidR="00F548BE" w:rsidRPr="007F1726" w:rsidRDefault="00D57148" w:rsidP="0023501F">
      <w:pPr>
        <w:pStyle w:val="NormalWeb"/>
        <w:jc w:val="both"/>
        <w:rPr>
          <w:sz w:val="32"/>
          <w:szCs w:val="32"/>
        </w:rPr>
      </w:pPr>
      <w:r w:rsidRPr="007F1726">
        <w:rPr>
          <w:sz w:val="32"/>
          <w:szCs w:val="32"/>
        </w:rPr>
        <w:lastRenderedPageBreak/>
        <w:t>We anticipate the</w:t>
      </w:r>
      <w:r w:rsidR="00F548BE" w:rsidRPr="007F1726">
        <w:rPr>
          <w:sz w:val="32"/>
          <w:szCs w:val="32"/>
        </w:rPr>
        <w:t xml:space="preserve"> expo </w:t>
      </w:r>
      <w:r w:rsidRPr="007F1726">
        <w:rPr>
          <w:sz w:val="32"/>
          <w:szCs w:val="32"/>
        </w:rPr>
        <w:t xml:space="preserve">to </w:t>
      </w:r>
      <w:r w:rsidR="00F548BE" w:rsidRPr="007F1726">
        <w:rPr>
          <w:sz w:val="32"/>
          <w:szCs w:val="32"/>
        </w:rPr>
        <w:t xml:space="preserve">provide </w:t>
      </w:r>
      <w:r w:rsidR="0023501F" w:rsidRPr="007F1726">
        <w:rPr>
          <w:sz w:val="32"/>
          <w:szCs w:val="32"/>
        </w:rPr>
        <w:t xml:space="preserve">networking, partnership and business opportunities </w:t>
      </w:r>
      <w:r w:rsidR="00F548BE" w:rsidRPr="007F1726">
        <w:rPr>
          <w:sz w:val="32"/>
          <w:szCs w:val="32"/>
        </w:rPr>
        <w:t>in Uganda’s power sector</w:t>
      </w:r>
      <w:r w:rsidR="0023501F" w:rsidRPr="007F1726">
        <w:rPr>
          <w:sz w:val="32"/>
          <w:szCs w:val="32"/>
        </w:rPr>
        <w:t xml:space="preserve"> with global players from </w:t>
      </w:r>
      <w:r w:rsidR="00F548BE" w:rsidRPr="007F1726">
        <w:rPr>
          <w:sz w:val="32"/>
          <w:szCs w:val="32"/>
        </w:rPr>
        <w:t>India, the United Kingdom, the United Arab Emirates, and other regions. These partnerships will foster technology transfer and strengthen our financial capabilities.</w:t>
      </w:r>
    </w:p>
    <w:p w:rsidR="0023501F" w:rsidRPr="007F1726" w:rsidRDefault="0023501F" w:rsidP="0023501F">
      <w:pPr>
        <w:pStyle w:val="NormalWeb"/>
        <w:jc w:val="both"/>
        <w:rPr>
          <w:sz w:val="32"/>
          <w:szCs w:val="32"/>
        </w:rPr>
      </w:pPr>
      <w:r w:rsidRPr="007F1726">
        <w:rPr>
          <w:sz w:val="32"/>
          <w:szCs w:val="32"/>
        </w:rPr>
        <w:t>A highlight of the event is the “</w:t>
      </w:r>
      <w:r w:rsidRPr="007F1726">
        <w:rPr>
          <w:b/>
          <w:i/>
          <w:sz w:val="32"/>
          <w:szCs w:val="32"/>
        </w:rPr>
        <w:t>Power and Electricity Forum 2024,”</w:t>
      </w:r>
      <w:r w:rsidRPr="007F1726">
        <w:rPr>
          <w:sz w:val="32"/>
          <w:szCs w:val="32"/>
        </w:rPr>
        <w:t xml:space="preserve"> on 12</w:t>
      </w:r>
      <w:r w:rsidRPr="007F1726">
        <w:rPr>
          <w:sz w:val="32"/>
          <w:szCs w:val="32"/>
          <w:vertAlign w:val="superscript"/>
        </w:rPr>
        <w:t>th</w:t>
      </w:r>
      <w:r w:rsidRPr="007F1726">
        <w:rPr>
          <w:sz w:val="32"/>
          <w:szCs w:val="32"/>
        </w:rPr>
        <w:t xml:space="preserve"> July, a one-day conference themed </w:t>
      </w:r>
      <w:r w:rsidRPr="007F1726">
        <w:rPr>
          <w:i/>
          <w:sz w:val="32"/>
          <w:szCs w:val="32"/>
        </w:rPr>
        <w:t>“The Evolving Power Sector Landscape.”</w:t>
      </w:r>
      <w:r w:rsidRPr="007F1726">
        <w:rPr>
          <w:sz w:val="32"/>
          <w:szCs w:val="32"/>
        </w:rPr>
        <w:t xml:space="preserve"> This forum will feature keynote speeches, panel discussions, presentations from selected companies, an exhibition tour, and a matchmaking session.</w:t>
      </w:r>
    </w:p>
    <w:p w:rsidR="00FB0FCF" w:rsidRPr="007F1726" w:rsidRDefault="00FB0FCF" w:rsidP="0023501F">
      <w:pPr>
        <w:spacing w:before="100" w:beforeAutospacing="1" w:after="100" w:afterAutospacing="1" w:line="240" w:lineRule="auto"/>
        <w:jc w:val="both"/>
        <w:rPr>
          <w:rFonts w:ascii="Times New Roman" w:eastAsia="Times New Roman" w:hAnsi="Times New Roman" w:cs="Times New Roman"/>
          <w:sz w:val="32"/>
          <w:szCs w:val="32"/>
        </w:rPr>
      </w:pPr>
      <w:r w:rsidRPr="007F1726">
        <w:rPr>
          <w:rFonts w:ascii="Times New Roman" w:eastAsia="Times New Roman" w:hAnsi="Times New Roman" w:cs="Times New Roman"/>
          <w:sz w:val="32"/>
          <w:szCs w:val="32"/>
        </w:rPr>
        <w:t>As part of the Energy Transition Plan, electricity will play a central role in shaping our energy mix, aiming for a low-carbon and climate-resilient economy in line with the Paris Agreement and Uganda’s Nationally Determined Contribution. The government supports industrialists in improving energy efficiency through energy audits, aiming to phase out obsolete technologies.</w:t>
      </w:r>
      <w:r w:rsidR="00D57148" w:rsidRPr="007F1726">
        <w:rPr>
          <w:rFonts w:ascii="Times New Roman" w:eastAsia="Times New Roman" w:hAnsi="Times New Roman" w:cs="Times New Roman"/>
          <w:sz w:val="32"/>
          <w:szCs w:val="32"/>
        </w:rPr>
        <w:t xml:space="preserve"> </w:t>
      </w:r>
      <w:r w:rsidRPr="007F1726">
        <w:rPr>
          <w:rFonts w:ascii="Times New Roman" w:eastAsia="Times New Roman" w:hAnsi="Times New Roman" w:cs="Times New Roman"/>
          <w:sz w:val="32"/>
          <w:szCs w:val="32"/>
        </w:rPr>
        <w:t xml:space="preserve">We are also keen on promoting electric mobility, </w:t>
      </w:r>
      <w:r w:rsidR="00262A16" w:rsidRPr="007F1726">
        <w:rPr>
          <w:rFonts w:ascii="Times New Roman" w:eastAsia="Times New Roman" w:hAnsi="Times New Roman" w:cs="Times New Roman"/>
          <w:sz w:val="32"/>
          <w:szCs w:val="32"/>
        </w:rPr>
        <w:t xml:space="preserve">and </w:t>
      </w:r>
      <w:r w:rsidRPr="007F1726">
        <w:rPr>
          <w:rFonts w:ascii="Times New Roman" w:eastAsia="Times New Roman" w:hAnsi="Times New Roman" w:cs="Times New Roman"/>
          <w:sz w:val="32"/>
          <w:szCs w:val="32"/>
        </w:rPr>
        <w:t>developing a strategy and master</w:t>
      </w:r>
      <w:r w:rsidR="00262A16" w:rsidRPr="007F1726">
        <w:rPr>
          <w:rFonts w:ascii="Times New Roman" w:eastAsia="Times New Roman" w:hAnsi="Times New Roman" w:cs="Times New Roman"/>
          <w:sz w:val="32"/>
          <w:szCs w:val="32"/>
        </w:rPr>
        <w:t xml:space="preserve"> </w:t>
      </w:r>
      <w:r w:rsidRPr="007F1726">
        <w:rPr>
          <w:rFonts w:ascii="Times New Roman" w:eastAsia="Times New Roman" w:hAnsi="Times New Roman" w:cs="Times New Roman"/>
          <w:sz w:val="32"/>
          <w:szCs w:val="32"/>
        </w:rPr>
        <w:t>plan for electric vehicle charging infrastructure.</w:t>
      </w:r>
    </w:p>
    <w:p w:rsidR="00262A16" w:rsidRPr="007F1726" w:rsidRDefault="00262A16" w:rsidP="0023501F">
      <w:pPr>
        <w:spacing w:before="100" w:beforeAutospacing="1" w:after="100" w:afterAutospacing="1" w:line="240" w:lineRule="auto"/>
        <w:jc w:val="both"/>
        <w:rPr>
          <w:rFonts w:ascii="Times New Roman" w:eastAsia="Times New Roman" w:hAnsi="Times New Roman" w:cs="Times New Roman"/>
          <w:sz w:val="32"/>
          <w:szCs w:val="32"/>
        </w:rPr>
      </w:pPr>
      <w:r w:rsidRPr="007F1726">
        <w:rPr>
          <w:rFonts w:ascii="Times New Roman" w:eastAsia="Times New Roman" w:hAnsi="Times New Roman" w:cs="Times New Roman"/>
          <w:sz w:val="32"/>
          <w:szCs w:val="32"/>
        </w:rPr>
        <w:t>In a bid to promote the adoption of cleaner and efficient transport technologies, the Ministry has embarked on the development of electric vehicle charging infrastructure. So far a charging station for electric vehicles has been installed at the Ministry headquarters. In addition to this, a regulatory framework for setting up electric vehicle charging stations is being developed.</w:t>
      </w:r>
    </w:p>
    <w:p w:rsidR="00262A16" w:rsidRPr="007F1726" w:rsidRDefault="00262A16" w:rsidP="00262A16">
      <w:pPr>
        <w:spacing w:after="0" w:line="240" w:lineRule="auto"/>
        <w:jc w:val="both"/>
        <w:rPr>
          <w:rFonts w:ascii="Times New Roman" w:hAnsi="Times New Roman" w:cs="Times New Roman"/>
          <w:bCs/>
          <w:sz w:val="32"/>
          <w:szCs w:val="32"/>
          <w:lang w:val="en-GB"/>
        </w:rPr>
      </w:pPr>
      <w:r w:rsidRPr="007F1726">
        <w:rPr>
          <w:rFonts w:ascii="Times New Roman" w:hAnsi="Times New Roman" w:cs="Times New Roman"/>
          <w:bCs/>
          <w:sz w:val="32"/>
          <w:szCs w:val="32"/>
          <w:lang w:val="en-GB"/>
        </w:rPr>
        <w:t>Under the NRM Manifesto 2021-2026, Government planned to implement the introduction of a 10% bioethanol blending program and policy by the 2</w:t>
      </w:r>
      <w:r w:rsidRPr="007F1726">
        <w:rPr>
          <w:rFonts w:ascii="Times New Roman" w:hAnsi="Times New Roman" w:cs="Times New Roman"/>
          <w:bCs/>
          <w:sz w:val="32"/>
          <w:szCs w:val="32"/>
          <w:vertAlign w:val="superscript"/>
          <w:lang w:val="en-GB"/>
        </w:rPr>
        <w:t>nd</w:t>
      </w:r>
      <w:r w:rsidRPr="007F1726">
        <w:rPr>
          <w:rFonts w:ascii="Times New Roman" w:hAnsi="Times New Roman" w:cs="Times New Roman"/>
          <w:bCs/>
          <w:sz w:val="32"/>
          <w:szCs w:val="32"/>
          <w:lang w:val="en-GB"/>
        </w:rPr>
        <w:t xml:space="preserve"> year. </w:t>
      </w:r>
      <w:r w:rsidRPr="007F1726">
        <w:rPr>
          <w:rFonts w:ascii="Times New Roman" w:hAnsi="Times New Roman" w:cs="Times New Roman"/>
          <w:bCs/>
          <w:sz w:val="32"/>
          <w:szCs w:val="32"/>
        </w:rPr>
        <w:t xml:space="preserve"> </w:t>
      </w:r>
      <w:r w:rsidRPr="007F1726">
        <w:rPr>
          <w:rFonts w:ascii="Times New Roman" w:hAnsi="Times New Roman" w:cs="Times New Roman"/>
          <w:bCs/>
          <w:sz w:val="32"/>
          <w:szCs w:val="32"/>
          <w:lang w:val="en-GB"/>
        </w:rPr>
        <w:t>A comprehensive legal framework for the production, storage, transportation of biofuels; and blending of biofuels with fossil fuels is now in place, including gazetting of the Licensing Authority, and finalisation of the draft Licensing Guidelines.</w:t>
      </w:r>
    </w:p>
    <w:p w:rsidR="00262A16" w:rsidRPr="007F1726" w:rsidRDefault="00262A16" w:rsidP="00262A16">
      <w:pPr>
        <w:spacing w:after="0" w:line="240" w:lineRule="auto"/>
        <w:jc w:val="both"/>
        <w:rPr>
          <w:rFonts w:ascii="Times New Roman" w:hAnsi="Times New Roman" w:cs="Times New Roman"/>
          <w:bCs/>
          <w:sz w:val="32"/>
          <w:szCs w:val="32"/>
          <w:lang w:val="en-GB"/>
        </w:rPr>
      </w:pPr>
    </w:p>
    <w:p w:rsidR="00262A16" w:rsidRPr="007F1726" w:rsidRDefault="00262A16" w:rsidP="00262A16">
      <w:pPr>
        <w:jc w:val="both"/>
        <w:rPr>
          <w:rFonts w:ascii="Times New Roman" w:hAnsi="Times New Roman" w:cs="Times New Roman"/>
          <w:bCs/>
          <w:sz w:val="32"/>
          <w:szCs w:val="32"/>
        </w:rPr>
      </w:pPr>
      <w:r w:rsidRPr="007F1726">
        <w:rPr>
          <w:rFonts w:ascii="Times New Roman" w:hAnsi="Times New Roman" w:cs="Times New Roman"/>
          <w:bCs/>
          <w:sz w:val="32"/>
          <w:szCs w:val="32"/>
        </w:rPr>
        <w:lastRenderedPageBreak/>
        <w:t>The Ministry has established two operational Committees to provide support for the development of a sustainable and successful biofuels program, which include:</w:t>
      </w:r>
    </w:p>
    <w:p w:rsidR="00262A16" w:rsidRPr="007F1726" w:rsidRDefault="00262A16" w:rsidP="00262A16">
      <w:pPr>
        <w:pStyle w:val="ListParagraph"/>
        <w:numPr>
          <w:ilvl w:val="0"/>
          <w:numId w:val="4"/>
        </w:numPr>
        <w:spacing w:after="0" w:line="240" w:lineRule="auto"/>
        <w:ind w:left="360"/>
        <w:jc w:val="both"/>
        <w:rPr>
          <w:rFonts w:ascii="Times New Roman" w:hAnsi="Times New Roman" w:cs="Times New Roman"/>
          <w:bCs/>
          <w:sz w:val="32"/>
          <w:szCs w:val="32"/>
        </w:rPr>
      </w:pPr>
      <w:r w:rsidRPr="007F1726">
        <w:rPr>
          <w:rFonts w:ascii="Times New Roman" w:hAnsi="Times New Roman" w:cs="Times New Roman"/>
          <w:bCs/>
          <w:sz w:val="32"/>
          <w:szCs w:val="32"/>
        </w:rPr>
        <w:t>The National Biofuels Committee (NBC), composed of the Private Sector – Oil Companies (OMCs) and Biofuel Producers, and relevant MDAs</w:t>
      </w:r>
      <w:r w:rsidRPr="007F1726">
        <w:rPr>
          <w:rFonts w:ascii="Times New Roman" w:hAnsi="Times New Roman" w:cs="Times New Roman"/>
          <w:bCs/>
          <w:sz w:val="32"/>
          <w:szCs w:val="32"/>
          <w:lang w:val="en-GB"/>
        </w:rPr>
        <w:t xml:space="preserve"> to provide strategic guidance to the biofuels industry and blending program. </w:t>
      </w:r>
    </w:p>
    <w:p w:rsidR="00262A16" w:rsidRPr="007F1726" w:rsidRDefault="00262A16" w:rsidP="00262A16">
      <w:pPr>
        <w:pStyle w:val="ListParagraph"/>
        <w:numPr>
          <w:ilvl w:val="0"/>
          <w:numId w:val="4"/>
        </w:numPr>
        <w:spacing w:after="0" w:line="240" w:lineRule="auto"/>
        <w:ind w:left="360"/>
        <w:jc w:val="both"/>
        <w:rPr>
          <w:rFonts w:ascii="Times New Roman" w:hAnsi="Times New Roman" w:cs="Times New Roman"/>
          <w:bCs/>
          <w:sz w:val="32"/>
          <w:szCs w:val="32"/>
        </w:rPr>
      </w:pPr>
      <w:r w:rsidRPr="007F1726">
        <w:rPr>
          <w:rFonts w:ascii="Times New Roman" w:hAnsi="Times New Roman" w:cs="Times New Roman"/>
          <w:bCs/>
          <w:sz w:val="32"/>
          <w:szCs w:val="32"/>
          <w:lang w:val="en-GB"/>
        </w:rPr>
        <w:t>The Internal Technical Committee (ITC) composed of technical staff from PSD, SPPAD, Communications Division, and RED to ensure effective coordination and teamwork within the Ministry.</w:t>
      </w:r>
    </w:p>
    <w:p w:rsidR="00262A16" w:rsidRDefault="00262A16" w:rsidP="00262A16">
      <w:pPr>
        <w:pStyle w:val="ListParagraph"/>
        <w:numPr>
          <w:ilvl w:val="0"/>
          <w:numId w:val="4"/>
        </w:numPr>
        <w:spacing w:after="0" w:line="240" w:lineRule="auto"/>
        <w:ind w:left="360"/>
        <w:jc w:val="both"/>
        <w:rPr>
          <w:rFonts w:ascii="Times New Roman" w:hAnsi="Times New Roman" w:cs="Times New Roman"/>
          <w:bCs/>
          <w:sz w:val="32"/>
          <w:szCs w:val="32"/>
        </w:rPr>
      </w:pPr>
      <w:r w:rsidRPr="007F1726">
        <w:rPr>
          <w:rFonts w:ascii="Times New Roman" w:hAnsi="Times New Roman" w:cs="Times New Roman"/>
          <w:bCs/>
          <w:sz w:val="32"/>
          <w:szCs w:val="32"/>
        </w:rPr>
        <w:t xml:space="preserve">Licensing Office: A Licensing Officer (Commissioner, Renewable Energy) was </w:t>
      </w:r>
      <w:proofErr w:type="spellStart"/>
      <w:r w:rsidRPr="007F1726">
        <w:rPr>
          <w:rFonts w:ascii="Times New Roman" w:hAnsi="Times New Roman" w:cs="Times New Roman"/>
          <w:bCs/>
          <w:sz w:val="32"/>
          <w:szCs w:val="32"/>
        </w:rPr>
        <w:t>gazetted</w:t>
      </w:r>
      <w:proofErr w:type="spellEnd"/>
      <w:r w:rsidRPr="007F1726">
        <w:rPr>
          <w:rFonts w:ascii="Times New Roman" w:hAnsi="Times New Roman" w:cs="Times New Roman"/>
          <w:bCs/>
          <w:sz w:val="32"/>
          <w:szCs w:val="32"/>
        </w:rPr>
        <w:t xml:space="preserve"> and a Licensing Office has been created to support the physical and functional process for licensing</w:t>
      </w:r>
      <w:r w:rsidR="00B00DC0">
        <w:rPr>
          <w:rFonts w:ascii="Times New Roman" w:hAnsi="Times New Roman" w:cs="Times New Roman"/>
          <w:bCs/>
          <w:sz w:val="32"/>
          <w:szCs w:val="32"/>
        </w:rPr>
        <w:t>.</w:t>
      </w:r>
    </w:p>
    <w:p w:rsidR="00B00DC0" w:rsidRDefault="00B00DC0" w:rsidP="00B00DC0">
      <w:pPr>
        <w:spacing w:after="0" w:line="240" w:lineRule="auto"/>
        <w:jc w:val="both"/>
        <w:rPr>
          <w:rFonts w:ascii="Times New Roman" w:hAnsi="Times New Roman" w:cs="Times New Roman"/>
          <w:bCs/>
          <w:sz w:val="32"/>
          <w:szCs w:val="32"/>
        </w:rPr>
      </w:pPr>
    </w:p>
    <w:p w:rsidR="00B00DC0" w:rsidRDefault="00B00DC0" w:rsidP="00B00DC0">
      <w:pPr>
        <w:spacing w:after="0" w:line="240" w:lineRule="auto"/>
        <w:jc w:val="both"/>
        <w:rPr>
          <w:rFonts w:ascii="Times New Roman" w:hAnsi="Times New Roman" w:cs="Times New Roman"/>
          <w:bCs/>
          <w:sz w:val="32"/>
          <w:szCs w:val="32"/>
        </w:rPr>
      </w:pPr>
      <w:r>
        <w:rPr>
          <w:rFonts w:ascii="Times New Roman" w:hAnsi="Times New Roman" w:cs="Times New Roman"/>
          <w:bCs/>
          <w:sz w:val="32"/>
          <w:szCs w:val="32"/>
        </w:rPr>
        <w:t>Additionally, the government is promoting</w:t>
      </w:r>
      <w:r w:rsidR="00AD013F">
        <w:rPr>
          <w:rFonts w:ascii="Times New Roman" w:hAnsi="Times New Roman" w:cs="Times New Roman"/>
          <w:bCs/>
          <w:sz w:val="32"/>
          <w:szCs w:val="32"/>
        </w:rPr>
        <w:t xml:space="preserve"> Nuclear energy. Pr</w:t>
      </w:r>
      <w:r w:rsidR="00AD013F" w:rsidRPr="00AD013F">
        <w:rPr>
          <w:rFonts w:ascii="Times New Roman" w:hAnsi="Times New Roman" w:cs="Times New Roman"/>
          <w:bCs/>
          <w:sz w:val="32"/>
          <w:szCs w:val="32"/>
        </w:rPr>
        <w:t xml:space="preserve">eparatory activities for the 8400MWe Nuclear Power Plant in </w:t>
      </w:r>
      <w:proofErr w:type="spellStart"/>
      <w:r w:rsidR="00AD013F" w:rsidRPr="00AD013F">
        <w:rPr>
          <w:rFonts w:ascii="Times New Roman" w:hAnsi="Times New Roman" w:cs="Times New Roman"/>
          <w:bCs/>
          <w:sz w:val="32"/>
          <w:szCs w:val="32"/>
        </w:rPr>
        <w:t>Buyende</w:t>
      </w:r>
      <w:proofErr w:type="spellEnd"/>
      <w:r w:rsidR="00AD013F" w:rsidRPr="00AD013F">
        <w:rPr>
          <w:rFonts w:ascii="Times New Roman" w:hAnsi="Times New Roman" w:cs="Times New Roman"/>
          <w:bCs/>
          <w:sz w:val="32"/>
          <w:szCs w:val="32"/>
        </w:rPr>
        <w:t xml:space="preserve"> District are ongoing</w:t>
      </w:r>
      <w:r w:rsidR="00AD013F">
        <w:rPr>
          <w:rFonts w:ascii="Times New Roman" w:hAnsi="Times New Roman" w:cs="Times New Roman"/>
          <w:bCs/>
          <w:sz w:val="32"/>
          <w:szCs w:val="32"/>
        </w:rPr>
        <w:t xml:space="preserve"> and Nuclear Training </w:t>
      </w:r>
      <w:proofErr w:type="spellStart"/>
      <w:r w:rsidR="00AD013F">
        <w:rPr>
          <w:rFonts w:ascii="Times New Roman" w:hAnsi="Times New Roman" w:cs="Times New Roman"/>
          <w:bCs/>
          <w:sz w:val="32"/>
          <w:szCs w:val="32"/>
        </w:rPr>
        <w:t>programme</w:t>
      </w:r>
      <w:proofErr w:type="spellEnd"/>
      <w:r w:rsidR="00AD013F">
        <w:rPr>
          <w:rFonts w:ascii="Times New Roman" w:hAnsi="Times New Roman" w:cs="Times New Roman"/>
          <w:bCs/>
          <w:sz w:val="32"/>
          <w:szCs w:val="32"/>
        </w:rPr>
        <w:t xml:space="preserve"> is being set up at </w:t>
      </w:r>
      <w:proofErr w:type="spellStart"/>
      <w:r w:rsidR="00AD013F">
        <w:rPr>
          <w:rFonts w:ascii="Times New Roman" w:hAnsi="Times New Roman" w:cs="Times New Roman"/>
          <w:bCs/>
          <w:sz w:val="32"/>
          <w:szCs w:val="32"/>
        </w:rPr>
        <w:t>Soroti</w:t>
      </w:r>
      <w:proofErr w:type="spellEnd"/>
      <w:r w:rsidR="00AD013F">
        <w:rPr>
          <w:rFonts w:ascii="Times New Roman" w:hAnsi="Times New Roman" w:cs="Times New Roman"/>
          <w:bCs/>
          <w:sz w:val="32"/>
          <w:szCs w:val="32"/>
        </w:rPr>
        <w:t xml:space="preserve"> University.</w:t>
      </w:r>
    </w:p>
    <w:p w:rsidR="00FC2B47" w:rsidRDefault="00FC2B47" w:rsidP="00B00DC0">
      <w:pPr>
        <w:spacing w:after="0" w:line="240" w:lineRule="auto"/>
        <w:jc w:val="both"/>
        <w:rPr>
          <w:rFonts w:ascii="Times New Roman" w:hAnsi="Times New Roman" w:cs="Times New Roman"/>
          <w:bCs/>
          <w:sz w:val="32"/>
          <w:szCs w:val="32"/>
        </w:rPr>
      </w:pPr>
    </w:p>
    <w:p w:rsidR="00FC2B47" w:rsidRPr="00B00DC0" w:rsidRDefault="00FC2B47" w:rsidP="00B00DC0">
      <w:pPr>
        <w:spacing w:after="0" w:line="240" w:lineRule="auto"/>
        <w:jc w:val="both"/>
        <w:rPr>
          <w:rFonts w:ascii="Times New Roman" w:hAnsi="Times New Roman" w:cs="Times New Roman"/>
          <w:bCs/>
          <w:sz w:val="32"/>
          <w:szCs w:val="32"/>
        </w:rPr>
      </w:pPr>
      <w:r>
        <w:rPr>
          <w:rFonts w:ascii="Times New Roman" w:hAnsi="Times New Roman" w:cs="Times New Roman"/>
          <w:bCs/>
          <w:sz w:val="32"/>
          <w:szCs w:val="32"/>
        </w:rPr>
        <w:t xml:space="preserve">It is also important to note that the current tariff adjustments reduces the cost by 1.5 %. The adjustments for </w:t>
      </w:r>
      <w:r w:rsidR="000C369E">
        <w:rPr>
          <w:rFonts w:ascii="Times New Roman" w:hAnsi="Times New Roman" w:cs="Times New Roman"/>
          <w:bCs/>
          <w:sz w:val="32"/>
          <w:szCs w:val="32"/>
        </w:rPr>
        <w:t>domestic</w:t>
      </w:r>
      <w:r>
        <w:rPr>
          <w:rFonts w:ascii="Times New Roman" w:hAnsi="Times New Roman" w:cs="Times New Roman"/>
          <w:bCs/>
          <w:sz w:val="32"/>
          <w:szCs w:val="32"/>
        </w:rPr>
        <w:t xml:space="preserve"> customers is at </w:t>
      </w:r>
      <w:proofErr w:type="spellStart"/>
      <w:r>
        <w:rPr>
          <w:rFonts w:ascii="Times New Roman" w:hAnsi="Times New Roman" w:cs="Times New Roman"/>
          <w:bCs/>
          <w:sz w:val="32"/>
          <w:szCs w:val="32"/>
        </w:rPr>
        <w:t>Ush</w:t>
      </w:r>
      <w:proofErr w:type="spellEnd"/>
      <w:r>
        <w:rPr>
          <w:rFonts w:ascii="Times New Roman" w:hAnsi="Times New Roman" w:cs="Times New Roman"/>
          <w:bCs/>
          <w:sz w:val="32"/>
          <w:szCs w:val="32"/>
        </w:rPr>
        <w:t xml:space="preserve"> 803.0/kWh, commercial customers at </w:t>
      </w:r>
      <w:proofErr w:type="spellStart"/>
      <w:r>
        <w:rPr>
          <w:rFonts w:ascii="Times New Roman" w:hAnsi="Times New Roman" w:cs="Times New Roman"/>
          <w:bCs/>
          <w:sz w:val="32"/>
          <w:szCs w:val="32"/>
        </w:rPr>
        <w:t>Ushs</w:t>
      </w:r>
      <w:proofErr w:type="spellEnd"/>
      <w:r>
        <w:rPr>
          <w:rFonts w:ascii="Times New Roman" w:hAnsi="Times New Roman" w:cs="Times New Roman"/>
          <w:bCs/>
          <w:sz w:val="32"/>
          <w:szCs w:val="32"/>
        </w:rPr>
        <w:t xml:space="preserve"> 606.2/kWh, medium industrial customers at </w:t>
      </w:r>
      <w:proofErr w:type="spellStart"/>
      <w:r>
        <w:rPr>
          <w:rFonts w:ascii="Times New Roman" w:hAnsi="Times New Roman" w:cs="Times New Roman"/>
          <w:bCs/>
          <w:sz w:val="32"/>
          <w:szCs w:val="32"/>
        </w:rPr>
        <w:t>Ush</w:t>
      </w:r>
      <w:proofErr w:type="spellEnd"/>
      <w:r>
        <w:rPr>
          <w:rFonts w:ascii="Times New Roman" w:hAnsi="Times New Roman" w:cs="Times New Roman"/>
          <w:bCs/>
          <w:sz w:val="32"/>
          <w:szCs w:val="32"/>
        </w:rPr>
        <w:t xml:space="preserve"> 452.1/kWh, Large </w:t>
      </w:r>
      <w:r w:rsidR="000C369E">
        <w:rPr>
          <w:rFonts w:ascii="Times New Roman" w:hAnsi="Times New Roman" w:cs="Times New Roman"/>
          <w:bCs/>
          <w:sz w:val="32"/>
          <w:szCs w:val="32"/>
        </w:rPr>
        <w:t>Industrial cu</w:t>
      </w:r>
      <w:r>
        <w:rPr>
          <w:rFonts w:ascii="Times New Roman" w:hAnsi="Times New Roman" w:cs="Times New Roman"/>
          <w:bCs/>
          <w:sz w:val="32"/>
          <w:szCs w:val="32"/>
        </w:rPr>
        <w:t xml:space="preserve">stomers at </w:t>
      </w:r>
      <w:proofErr w:type="spellStart"/>
      <w:r>
        <w:rPr>
          <w:rFonts w:ascii="Times New Roman" w:hAnsi="Times New Roman" w:cs="Times New Roman"/>
          <w:bCs/>
          <w:sz w:val="32"/>
          <w:szCs w:val="32"/>
        </w:rPr>
        <w:t>Ushs</w:t>
      </w:r>
      <w:proofErr w:type="spellEnd"/>
      <w:r>
        <w:rPr>
          <w:rFonts w:ascii="Times New Roman" w:hAnsi="Times New Roman" w:cs="Times New Roman"/>
          <w:bCs/>
          <w:sz w:val="32"/>
          <w:szCs w:val="32"/>
        </w:rPr>
        <w:t xml:space="preserve"> 383.4/kWh, </w:t>
      </w:r>
      <w:proofErr w:type="spellStart"/>
      <w:r>
        <w:rPr>
          <w:rFonts w:ascii="Times New Roman" w:hAnsi="Times New Roman" w:cs="Times New Roman"/>
          <w:bCs/>
          <w:sz w:val="32"/>
          <w:szCs w:val="32"/>
        </w:rPr>
        <w:t>Extra large</w:t>
      </w:r>
      <w:proofErr w:type="spellEnd"/>
      <w:r>
        <w:rPr>
          <w:rFonts w:ascii="Times New Roman" w:hAnsi="Times New Roman" w:cs="Times New Roman"/>
          <w:bCs/>
          <w:sz w:val="32"/>
          <w:szCs w:val="32"/>
        </w:rPr>
        <w:t xml:space="preserve"> </w:t>
      </w:r>
      <w:r w:rsidR="000C369E">
        <w:rPr>
          <w:rFonts w:ascii="Times New Roman" w:hAnsi="Times New Roman" w:cs="Times New Roman"/>
          <w:bCs/>
          <w:sz w:val="32"/>
          <w:szCs w:val="32"/>
        </w:rPr>
        <w:t>industrial</w:t>
      </w:r>
      <w:r>
        <w:rPr>
          <w:rFonts w:ascii="Times New Roman" w:hAnsi="Times New Roman" w:cs="Times New Roman"/>
          <w:bCs/>
          <w:sz w:val="32"/>
          <w:szCs w:val="32"/>
        </w:rPr>
        <w:t xml:space="preserve"> </w:t>
      </w:r>
      <w:r w:rsidR="000C369E">
        <w:rPr>
          <w:rFonts w:ascii="Times New Roman" w:hAnsi="Times New Roman" w:cs="Times New Roman"/>
          <w:bCs/>
          <w:sz w:val="32"/>
          <w:szCs w:val="32"/>
        </w:rPr>
        <w:t>customers</w:t>
      </w:r>
      <w:r>
        <w:rPr>
          <w:rFonts w:ascii="Times New Roman" w:hAnsi="Times New Roman" w:cs="Times New Roman"/>
          <w:bCs/>
          <w:sz w:val="32"/>
          <w:szCs w:val="32"/>
        </w:rPr>
        <w:t xml:space="preserve"> at </w:t>
      </w:r>
      <w:proofErr w:type="spellStart"/>
      <w:r>
        <w:rPr>
          <w:rFonts w:ascii="Times New Roman" w:hAnsi="Times New Roman" w:cs="Times New Roman"/>
          <w:bCs/>
          <w:sz w:val="32"/>
          <w:szCs w:val="32"/>
        </w:rPr>
        <w:t>Ushs</w:t>
      </w:r>
      <w:proofErr w:type="spellEnd"/>
      <w:r>
        <w:rPr>
          <w:rFonts w:ascii="Times New Roman" w:hAnsi="Times New Roman" w:cs="Times New Roman"/>
          <w:bCs/>
          <w:sz w:val="32"/>
          <w:szCs w:val="32"/>
        </w:rPr>
        <w:t xml:space="preserve"> 324.5/kWh, and Street lighting at </w:t>
      </w:r>
      <w:proofErr w:type="spellStart"/>
      <w:r>
        <w:rPr>
          <w:rFonts w:ascii="Times New Roman" w:hAnsi="Times New Roman" w:cs="Times New Roman"/>
          <w:bCs/>
          <w:sz w:val="32"/>
          <w:szCs w:val="32"/>
        </w:rPr>
        <w:t>Ushs</w:t>
      </w:r>
      <w:proofErr w:type="spellEnd"/>
      <w:r w:rsidR="000C369E">
        <w:rPr>
          <w:rFonts w:ascii="Times New Roman" w:hAnsi="Times New Roman" w:cs="Times New Roman"/>
          <w:bCs/>
          <w:sz w:val="32"/>
          <w:szCs w:val="32"/>
        </w:rPr>
        <w:t xml:space="preserve"> at </w:t>
      </w:r>
      <w:proofErr w:type="spellStart"/>
      <w:r w:rsidR="000C369E">
        <w:rPr>
          <w:rFonts w:ascii="Times New Roman" w:hAnsi="Times New Roman" w:cs="Times New Roman"/>
          <w:bCs/>
          <w:sz w:val="32"/>
          <w:szCs w:val="32"/>
        </w:rPr>
        <w:t>Ush</w:t>
      </w:r>
      <w:proofErr w:type="spellEnd"/>
      <w:r w:rsidR="000C369E">
        <w:rPr>
          <w:rFonts w:ascii="Times New Roman" w:hAnsi="Times New Roman" w:cs="Times New Roman"/>
          <w:bCs/>
          <w:sz w:val="32"/>
          <w:szCs w:val="32"/>
        </w:rPr>
        <w:t xml:space="preserve"> 370.0/kWh.</w:t>
      </w:r>
    </w:p>
    <w:p w:rsidR="006E77B8" w:rsidRPr="007F1726" w:rsidRDefault="00FB0FCF" w:rsidP="0023501F">
      <w:pPr>
        <w:spacing w:before="100" w:beforeAutospacing="1" w:after="100" w:afterAutospacing="1" w:line="240" w:lineRule="auto"/>
        <w:jc w:val="both"/>
        <w:rPr>
          <w:rFonts w:ascii="Times New Roman" w:eastAsia="Times New Roman" w:hAnsi="Times New Roman" w:cs="Times New Roman"/>
          <w:sz w:val="32"/>
          <w:szCs w:val="32"/>
        </w:rPr>
      </w:pPr>
      <w:r w:rsidRPr="007F1726">
        <w:rPr>
          <w:rFonts w:ascii="Times New Roman" w:eastAsia="Times New Roman" w:hAnsi="Times New Roman" w:cs="Times New Roman"/>
          <w:sz w:val="32"/>
          <w:szCs w:val="32"/>
        </w:rPr>
        <w:t xml:space="preserve">I express my gratitude to our partners, Exhibition and Trade Services India Private Limited and </w:t>
      </w:r>
      <w:proofErr w:type="spellStart"/>
      <w:r w:rsidRPr="007F1726">
        <w:rPr>
          <w:rFonts w:ascii="Times New Roman" w:eastAsia="Times New Roman" w:hAnsi="Times New Roman" w:cs="Times New Roman"/>
          <w:sz w:val="32"/>
          <w:szCs w:val="32"/>
        </w:rPr>
        <w:t>Lanestra</w:t>
      </w:r>
      <w:proofErr w:type="spellEnd"/>
      <w:r w:rsidRPr="007F1726">
        <w:rPr>
          <w:rFonts w:ascii="Times New Roman" w:eastAsia="Times New Roman" w:hAnsi="Times New Roman" w:cs="Times New Roman"/>
          <w:sz w:val="32"/>
          <w:szCs w:val="32"/>
        </w:rPr>
        <w:t xml:space="preserve"> Enterprises Uganda Limited, for </w:t>
      </w:r>
      <w:r w:rsidR="00AF01C3" w:rsidRPr="007F1726">
        <w:rPr>
          <w:rFonts w:ascii="Times New Roman" w:eastAsia="Times New Roman" w:hAnsi="Times New Roman" w:cs="Times New Roman"/>
          <w:sz w:val="32"/>
          <w:szCs w:val="32"/>
        </w:rPr>
        <w:t>this initiative</w:t>
      </w:r>
      <w:r w:rsidRPr="007F1726">
        <w:rPr>
          <w:rFonts w:ascii="Times New Roman" w:eastAsia="Times New Roman" w:hAnsi="Times New Roman" w:cs="Times New Roman"/>
          <w:sz w:val="32"/>
          <w:szCs w:val="32"/>
        </w:rPr>
        <w:t xml:space="preserve">. Special thanks to </w:t>
      </w:r>
      <w:r w:rsidR="006E77B8" w:rsidRPr="007F1726">
        <w:rPr>
          <w:rFonts w:ascii="Times New Roman" w:eastAsia="Times New Roman" w:hAnsi="Times New Roman" w:cs="Times New Roman"/>
          <w:sz w:val="32"/>
          <w:szCs w:val="32"/>
        </w:rPr>
        <w:t>all our</w:t>
      </w:r>
      <w:r w:rsidRPr="007F1726">
        <w:rPr>
          <w:rFonts w:ascii="Times New Roman" w:eastAsia="Times New Roman" w:hAnsi="Times New Roman" w:cs="Times New Roman"/>
          <w:sz w:val="32"/>
          <w:szCs w:val="32"/>
        </w:rPr>
        <w:t xml:space="preserve"> sponsors</w:t>
      </w:r>
      <w:r w:rsidR="006E77B8" w:rsidRPr="007F1726">
        <w:rPr>
          <w:rFonts w:ascii="Times New Roman" w:eastAsia="Times New Roman" w:hAnsi="Times New Roman" w:cs="Times New Roman"/>
          <w:sz w:val="32"/>
          <w:szCs w:val="32"/>
        </w:rPr>
        <w:t xml:space="preserve"> including; </w:t>
      </w:r>
      <w:proofErr w:type="spellStart"/>
      <w:r w:rsidR="006E77B8" w:rsidRPr="007F1726">
        <w:rPr>
          <w:rFonts w:ascii="Times New Roman" w:eastAsia="Times New Roman" w:hAnsi="Times New Roman" w:cs="Times New Roman"/>
          <w:sz w:val="32"/>
          <w:szCs w:val="32"/>
        </w:rPr>
        <w:t>Lanestra</w:t>
      </w:r>
      <w:proofErr w:type="spellEnd"/>
      <w:r w:rsidR="006E77B8" w:rsidRPr="007F1726">
        <w:rPr>
          <w:rFonts w:ascii="Times New Roman" w:eastAsia="Times New Roman" w:hAnsi="Times New Roman" w:cs="Times New Roman"/>
          <w:sz w:val="32"/>
          <w:szCs w:val="32"/>
        </w:rPr>
        <w:t xml:space="preserve"> Enterprises, Uganda Manufacturers Association (UMA), Uganda National Renewable Energy and Energy Efficiency Alliance (UNREEEA), Nest Electrical Contractors Association (NEST), UEDCL, </w:t>
      </w:r>
      <w:proofErr w:type="spellStart"/>
      <w:r w:rsidR="006E77B8" w:rsidRPr="007F1726">
        <w:rPr>
          <w:rFonts w:ascii="Times New Roman" w:eastAsia="Times New Roman" w:hAnsi="Times New Roman" w:cs="Times New Roman"/>
          <w:sz w:val="32"/>
          <w:szCs w:val="32"/>
        </w:rPr>
        <w:t>Okaya</w:t>
      </w:r>
      <w:proofErr w:type="spellEnd"/>
      <w:r w:rsidR="006E77B8" w:rsidRPr="007F1726">
        <w:rPr>
          <w:rFonts w:ascii="Times New Roman" w:eastAsia="Times New Roman" w:hAnsi="Times New Roman" w:cs="Times New Roman"/>
          <w:sz w:val="32"/>
          <w:szCs w:val="32"/>
        </w:rPr>
        <w:t xml:space="preserve"> Batteries, </w:t>
      </w:r>
      <w:proofErr w:type="spellStart"/>
      <w:r w:rsidR="006E77B8" w:rsidRPr="007F1726">
        <w:rPr>
          <w:rFonts w:ascii="Times New Roman" w:eastAsia="Times New Roman" w:hAnsi="Times New Roman" w:cs="Times New Roman"/>
          <w:sz w:val="32"/>
          <w:szCs w:val="32"/>
        </w:rPr>
        <w:t>Sukam</w:t>
      </w:r>
      <w:proofErr w:type="spellEnd"/>
      <w:r w:rsidR="006E77B8" w:rsidRPr="007F1726">
        <w:rPr>
          <w:rFonts w:ascii="Times New Roman" w:eastAsia="Times New Roman" w:hAnsi="Times New Roman" w:cs="Times New Roman"/>
          <w:sz w:val="32"/>
          <w:szCs w:val="32"/>
        </w:rPr>
        <w:t xml:space="preserve">, </w:t>
      </w:r>
      <w:proofErr w:type="spellStart"/>
      <w:r w:rsidR="006E77B8" w:rsidRPr="007F1726">
        <w:rPr>
          <w:rFonts w:ascii="Times New Roman" w:eastAsia="Times New Roman" w:hAnsi="Times New Roman" w:cs="Times New Roman"/>
          <w:sz w:val="32"/>
          <w:szCs w:val="32"/>
        </w:rPr>
        <w:t>Polycarb</w:t>
      </w:r>
      <w:proofErr w:type="spellEnd"/>
      <w:r w:rsidR="006E77B8" w:rsidRPr="007F1726">
        <w:rPr>
          <w:rFonts w:ascii="Times New Roman" w:eastAsia="Times New Roman" w:hAnsi="Times New Roman" w:cs="Times New Roman"/>
          <w:sz w:val="32"/>
          <w:szCs w:val="32"/>
        </w:rPr>
        <w:t>, Felicity Solar and Eastman Solar.</w:t>
      </w:r>
    </w:p>
    <w:p w:rsidR="00FB0FCF" w:rsidRPr="007F1726" w:rsidRDefault="006E77B8" w:rsidP="0023501F">
      <w:pPr>
        <w:spacing w:before="100" w:beforeAutospacing="1" w:after="100" w:afterAutospacing="1" w:line="240" w:lineRule="auto"/>
        <w:jc w:val="both"/>
        <w:rPr>
          <w:rFonts w:ascii="Times New Roman" w:eastAsia="Times New Roman" w:hAnsi="Times New Roman" w:cs="Times New Roman"/>
          <w:sz w:val="32"/>
          <w:szCs w:val="32"/>
        </w:rPr>
      </w:pPr>
      <w:r w:rsidRPr="007F1726">
        <w:rPr>
          <w:rFonts w:ascii="Times New Roman" w:eastAsia="Times New Roman" w:hAnsi="Times New Roman" w:cs="Times New Roman"/>
          <w:sz w:val="32"/>
          <w:szCs w:val="32"/>
        </w:rPr>
        <w:lastRenderedPageBreak/>
        <w:t>We</w:t>
      </w:r>
      <w:r w:rsidR="00FB0FCF" w:rsidRPr="007F1726">
        <w:rPr>
          <w:rFonts w:ascii="Times New Roman" w:eastAsia="Times New Roman" w:hAnsi="Times New Roman" w:cs="Times New Roman"/>
          <w:sz w:val="32"/>
          <w:szCs w:val="32"/>
        </w:rPr>
        <w:t xml:space="preserve"> call upon the business community to utilize this platform to build lasting partnerships and relations for the betterment of Uganda’s power sector.</w:t>
      </w:r>
    </w:p>
    <w:p w:rsidR="00D171B6" w:rsidRPr="007F1726" w:rsidRDefault="00D171B6" w:rsidP="0023501F">
      <w:pPr>
        <w:pStyle w:val="BodyText"/>
        <w:spacing w:after="0" w:line="240" w:lineRule="auto"/>
        <w:rPr>
          <w:rFonts w:ascii="Times New Roman" w:hAnsi="Times New Roman" w:cs="Times New Roman"/>
          <w:sz w:val="32"/>
          <w:szCs w:val="32"/>
        </w:rPr>
      </w:pPr>
    </w:p>
    <w:p w:rsidR="00C86C03" w:rsidRPr="007F1726" w:rsidRDefault="00D171B6" w:rsidP="0023501F">
      <w:pPr>
        <w:pStyle w:val="NormalWeb"/>
        <w:spacing w:before="0" w:beforeAutospacing="0" w:after="0" w:afterAutospacing="0" w:line="276" w:lineRule="auto"/>
        <w:jc w:val="both"/>
        <w:rPr>
          <w:b/>
          <w:bCs/>
          <w:sz w:val="32"/>
          <w:szCs w:val="32"/>
          <w:lang w:val="en-GB"/>
        </w:rPr>
      </w:pPr>
      <w:r w:rsidRPr="007F1726">
        <w:rPr>
          <w:rStyle w:val="Strong"/>
          <w:sz w:val="32"/>
          <w:szCs w:val="32"/>
        </w:rPr>
        <w:t xml:space="preserve">For further information, please contact the </w:t>
      </w:r>
      <w:r w:rsidR="00546F6F" w:rsidRPr="007F1726">
        <w:rPr>
          <w:rStyle w:val="Strong"/>
          <w:sz w:val="32"/>
          <w:szCs w:val="32"/>
        </w:rPr>
        <w:t>Assistant Commissioner Communication</w:t>
      </w:r>
      <w:r w:rsidRPr="007F1726">
        <w:rPr>
          <w:rStyle w:val="Strong"/>
          <w:sz w:val="32"/>
          <w:szCs w:val="32"/>
        </w:rPr>
        <w:t>, Ministry of Energy and Mineral Development</w:t>
      </w:r>
      <w:r w:rsidRPr="007F1726">
        <w:rPr>
          <w:b/>
          <w:bCs/>
          <w:sz w:val="32"/>
          <w:szCs w:val="32"/>
        </w:rPr>
        <w:t xml:space="preserve"> </w:t>
      </w:r>
      <w:r w:rsidRPr="007F1726">
        <w:rPr>
          <w:sz w:val="32"/>
          <w:szCs w:val="32"/>
        </w:rPr>
        <w:t>on</w:t>
      </w:r>
      <w:r w:rsidRPr="007F1726">
        <w:rPr>
          <w:b/>
          <w:bCs/>
          <w:sz w:val="32"/>
          <w:szCs w:val="32"/>
        </w:rPr>
        <w:t xml:space="preserve"> </w:t>
      </w:r>
      <w:r w:rsidRPr="007F1726">
        <w:rPr>
          <w:rStyle w:val="Strong"/>
          <w:sz w:val="32"/>
          <w:szCs w:val="32"/>
        </w:rPr>
        <w:t xml:space="preserve">Tel: +256 414 </w:t>
      </w:r>
      <w:r w:rsidRPr="007F1726">
        <w:rPr>
          <w:b/>
          <w:sz w:val="32"/>
          <w:szCs w:val="32"/>
          <w:lang w:val="en-GB"/>
        </w:rPr>
        <w:t>234733</w:t>
      </w:r>
      <w:r w:rsidRPr="007F1726">
        <w:rPr>
          <w:sz w:val="32"/>
          <w:szCs w:val="32"/>
        </w:rPr>
        <w:t> or</w:t>
      </w:r>
      <w:r w:rsidRPr="007F1726">
        <w:rPr>
          <w:b/>
          <w:bCs/>
          <w:sz w:val="32"/>
          <w:szCs w:val="32"/>
        </w:rPr>
        <w:t xml:space="preserve"> </w:t>
      </w:r>
      <w:r w:rsidRPr="007F1726">
        <w:rPr>
          <w:rStyle w:val="Strong"/>
          <w:sz w:val="32"/>
          <w:szCs w:val="32"/>
        </w:rPr>
        <w:t>Email</w:t>
      </w:r>
      <w:r w:rsidRPr="007F1726">
        <w:rPr>
          <w:rStyle w:val="Strong"/>
          <w:color w:val="0070C0"/>
          <w:sz w:val="32"/>
          <w:szCs w:val="32"/>
        </w:rPr>
        <w:t xml:space="preserve">:  </w:t>
      </w:r>
      <w:hyperlink r:id="rId6" w:history="1">
        <w:r w:rsidR="00546F6F" w:rsidRPr="007F1726">
          <w:rPr>
            <w:rStyle w:val="Hyperlink"/>
            <w:b/>
            <w:bCs/>
            <w:sz w:val="32"/>
            <w:szCs w:val="32"/>
            <w:lang w:val="en-GB"/>
          </w:rPr>
          <w:t>p.litho@energy.go.ug</w:t>
        </w:r>
      </w:hyperlink>
    </w:p>
    <w:p w:rsidR="00796DB8" w:rsidRPr="007F1726" w:rsidRDefault="00796DB8" w:rsidP="0023501F">
      <w:pPr>
        <w:pStyle w:val="NormalWeb"/>
        <w:spacing w:before="0" w:beforeAutospacing="0" w:after="0" w:afterAutospacing="0" w:line="276" w:lineRule="auto"/>
        <w:jc w:val="both"/>
        <w:rPr>
          <w:b/>
          <w:bCs/>
          <w:sz w:val="32"/>
          <w:szCs w:val="32"/>
          <w:lang w:val="en-GB"/>
        </w:rPr>
      </w:pPr>
    </w:p>
    <w:p w:rsidR="00796DB8" w:rsidRPr="007F1726" w:rsidRDefault="00796DB8" w:rsidP="0023501F">
      <w:pPr>
        <w:pStyle w:val="NormalWeb"/>
        <w:spacing w:before="0" w:beforeAutospacing="0" w:after="0" w:afterAutospacing="0" w:line="276" w:lineRule="auto"/>
        <w:jc w:val="both"/>
        <w:rPr>
          <w:b/>
          <w:bCs/>
          <w:sz w:val="32"/>
          <w:szCs w:val="32"/>
          <w:lang w:val="en-GB"/>
        </w:rPr>
      </w:pPr>
    </w:p>
    <w:p w:rsidR="0023501F" w:rsidRPr="007F1726" w:rsidRDefault="0023501F" w:rsidP="0023501F">
      <w:pPr>
        <w:jc w:val="both"/>
        <w:rPr>
          <w:rFonts w:ascii="Times New Roman" w:eastAsia="Times New Roman" w:hAnsi="Times New Roman" w:cs="Times New Roman"/>
          <w:b/>
          <w:bCs/>
          <w:sz w:val="32"/>
          <w:szCs w:val="32"/>
          <w:lang w:val="en-GB"/>
        </w:rPr>
      </w:pPr>
      <w:r w:rsidRPr="007F1726">
        <w:rPr>
          <w:rFonts w:ascii="Times New Roman" w:hAnsi="Times New Roman" w:cs="Times New Roman"/>
          <w:b/>
          <w:bCs/>
          <w:sz w:val="32"/>
          <w:szCs w:val="32"/>
          <w:lang w:val="en-GB"/>
        </w:rPr>
        <w:br w:type="page"/>
      </w:r>
    </w:p>
    <w:p w:rsidR="00796DB8" w:rsidRPr="007F1726" w:rsidRDefault="00796DB8" w:rsidP="0023501F">
      <w:pPr>
        <w:pStyle w:val="NormalWeb"/>
        <w:spacing w:before="0" w:beforeAutospacing="0" w:after="0" w:afterAutospacing="0" w:line="276" w:lineRule="auto"/>
        <w:jc w:val="both"/>
        <w:rPr>
          <w:b/>
          <w:bCs/>
          <w:sz w:val="32"/>
          <w:szCs w:val="32"/>
          <w:lang w:val="en-GB"/>
        </w:rPr>
      </w:pPr>
      <w:r w:rsidRPr="007F1726">
        <w:rPr>
          <w:b/>
          <w:bCs/>
          <w:sz w:val="32"/>
          <w:szCs w:val="32"/>
          <w:lang w:val="en-GB"/>
        </w:rPr>
        <w:lastRenderedPageBreak/>
        <w:t>INFORMATION SHEET</w:t>
      </w:r>
    </w:p>
    <w:p w:rsidR="00796DB8" w:rsidRPr="007F1726" w:rsidRDefault="00796DB8" w:rsidP="0023501F">
      <w:pPr>
        <w:pStyle w:val="NormalWeb"/>
        <w:spacing w:before="0" w:beforeAutospacing="0" w:after="0" w:afterAutospacing="0" w:line="276" w:lineRule="auto"/>
        <w:jc w:val="both"/>
        <w:rPr>
          <w:b/>
          <w:bCs/>
          <w:sz w:val="32"/>
          <w:szCs w:val="32"/>
          <w:lang w:val="en-GB"/>
        </w:rPr>
      </w:pPr>
    </w:p>
    <w:p w:rsidR="00796DB8" w:rsidRPr="007F1726" w:rsidRDefault="00796DB8" w:rsidP="0023501F">
      <w:pPr>
        <w:pStyle w:val="NormalWeb"/>
        <w:spacing w:before="0" w:beforeAutospacing="0" w:after="0" w:afterAutospacing="0"/>
        <w:jc w:val="both"/>
        <w:rPr>
          <w:sz w:val="32"/>
          <w:szCs w:val="32"/>
        </w:rPr>
      </w:pPr>
      <w:r w:rsidRPr="007F1726">
        <w:rPr>
          <w:rStyle w:val="Strong"/>
          <w:sz w:val="32"/>
          <w:szCs w:val="32"/>
        </w:rPr>
        <w:t>Key Updates on Developments in Uganda’s Power Sector:</w:t>
      </w:r>
    </w:p>
    <w:p w:rsidR="0023501F" w:rsidRPr="007F1726" w:rsidRDefault="00796DB8" w:rsidP="0023501F">
      <w:pPr>
        <w:pStyle w:val="NormalWeb"/>
        <w:numPr>
          <w:ilvl w:val="0"/>
          <w:numId w:val="2"/>
        </w:numPr>
        <w:spacing w:before="0" w:beforeAutospacing="0" w:after="0" w:afterAutospacing="0"/>
        <w:jc w:val="both"/>
        <w:rPr>
          <w:sz w:val="32"/>
          <w:szCs w:val="32"/>
        </w:rPr>
      </w:pPr>
      <w:r w:rsidRPr="007F1726">
        <w:rPr>
          <w:rStyle w:val="Strong"/>
          <w:sz w:val="32"/>
          <w:szCs w:val="32"/>
        </w:rPr>
        <w:t>Policy, Legal, and Regulatory Framework:</w:t>
      </w:r>
      <w:r w:rsidRPr="007F1726">
        <w:rPr>
          <w:sz w:val="32"/>
          <w:szCs w:val="32"/>
        </w:rPr>
        <w:t xml:space="preserve"> Last year, the Ministry launched the Energy Policy, 2023, aimed at meeting Uganda’s energy needs for social and economic development in an environmentally sustainable manner. The legal framework guiding electricity development in Uganda is encapsulated within the Electricity Act (Amended), 2022.</w:t>
      </w:r>
    </w:p>
    <w:p w:rsidR="0023501F" w:rsidRPr="007F1726" w:rsidRDefault="0023501F" w:rsidP="0023501F">
      <w:pPr>
        <w:pStyle w:val="NormalWeb"/>
        <w:spacing w:before="0" w:beforeAutospacing="0" w:after="0" w:afterAutospacing="0"/>
        <w:ind w:left="720"/>
        <w:jc w:val="both"/>
        <w:rPr>
          <w:sz w:val="32"/>
          <w:szCs w:val="32"/>
        </w:rPr>
      </w:pPr>
    </w:p>
    <w:p w:rsidR="00796DB8" w:rsidRPr="007F1726" w:rsidRDefault="00796DB8" w:rsidP="0023501F">
      <w:pPr>
        <w:pStyle w:val="NormalWeb"/>
        <w:numPr>
          <w:ilvl w:val="0"/>
          <w:numId w:val="2"/>
        </w:numPr>
        <w:spacing w:before="0" w:beforeAutospacing="0" w:after="0" w:afterAutospacing="0"/>
        <w:jc w:val="both"/>
        <w:rPr>
          <w:sz w:val="32"/>
          <w:szCs w:val="32"/>
        </w:rPr>
      </w:pPr>
      <w:r w:rsidRPr="007F1726">
        <w:rPr>
          <w:rStyle w:val="Strong"/>
          <w:sz w:val="32"/>
          <w:szCs w:val="32"/>
        </w:rPr>
        <w:t>Increased Generation Capacity of Electricity:</w:t>
      </w:r>
      <w:r w:rsidRPr="007F1726">
        <w:rPr>
          <w:sz w:val="32"/>
          <w:szCs w:val="32"/>
        </w:rPr>
        <w:t xml:space="preserve"> Uganda's electricity generation capacity target is 52,000 MW by 2040. Currently, our capacity stands at about 2000 MW, following the commissioning of the 600 MW </w:t>
      </w:r>
      <w:proofErr w:type="spellStart"/>
      <w:r w:rsidRPr="007F1726">
        <w:rPr>
          <w:sz w:val="32"/>
          <w:szCs w:val="32"/>
        </w:rPr>
        <w:t>Karuma</w:t>
      </w:r>
      <w:proofErr w:type="spellEnd"/>
      <w:r w:rsidRPr="007F1726">
        <w:rPr>
          <w:sz w:val="32"/>
          <w:szCs w:val="32"/>
        </w:rPr>
        <w:t xml:space="preserve"> HPP. We are committed to developing small and large hydropower projects, geothermal resources, and expanding our nuclear, solar, and wind capabilities.</w:t>
      </w:r>
    </w:p>
    <w:p w:rsidR="0023501F" w:rsidRPr="007F1726" w:rsidRDefault="0023501F" w:rsidP="0023501F">
      <w:pPr>
        <w:pStyle w:val="ListParagraph"/>
        <w:spacing w:after="0"/>
        <w:jc w:val="both"/>
        <w:rPr>
          <w:rFonts w:ascii="Times New Roman" w:hAnsi="Times New Roman" w:cs="Times New Roman"/>
          <w:sz w:val="32"/>
          <w:szCs w:val="32"/>
        </w:rPr>
      </w:pPr>
    </w:p>
    <w:p w:rsidR="00796DB8" w:rsidRPr="007F1726" w:rsidRDefault="00796DB8" w:rsidP="0023501F">
      <w:pPr>
        <w:pStyle w:val="NormalWeb"/>
        <w:numPr>
          <w:ilvl w:val="0"/>
          <w:numId w:val="2"/>
        </w:numPr>
        <w:spacing w:before="0" w:beforeAutospacing="0" w:after="0" w:afterAutospacing="0"/>
        <w:jc w:val="both"/>
        <w:rPr>
          <w:sz w:val="32"/>
          <w:szCs w:val="32"/>
        </w:rPr>
      </w:pPr>
      <w:r w:rsidRPr="007F1726">
        <w:rPr>
          <w:rStyle w:val="Strong"/>
          <w:sz w:val="32"/>
          <w:szCs w:val="32"/>
        </w:rPr>
        <w:t xml:space="preserve">Increased Access and </w:t>
      </w:r>
      <w:proofErr w:type="spellStart"/>
      <w:r w:rsidRPr="007F1726">
        <w:rPr>
          <w:rStyle w:val="Strong"/>
          <w:sz w:val="32"/>
          <w:szCs w:val="32"/>
        </w:rPr>
        <w:t>Utilisation</w:t>
      </w:r>
      <w:proofErr w:type="spellEnd"/>
      <w:r w:rsidRPr="007F1726">
        <w:rPr>
          <w:rStyle w:val="Strong"/>
          <w:sz w:val="32"/>
          <w:szCs w:val="32"/>
        </w:rPr>
        <w:t xml:space="preserve"> of Electricity:</w:t>
      </w:r>
      <w:r w:rsidRPr="007F1726">
        <w:rPr>
          <w:sz w:val="32"/>
          <w:szCs w:val="32"/>
        </w:rPr>
        <w:t xml:space="preserve"> The government is expanding power transmission infrastructure, with Uganda’s electricity access rate now at 57% (19% on-grid, 38% off-grid). Our total grid connections have reached 2,178,356. We aim to ensure every household has access to electricity by 2030, utilizing on-grid connections, solar home systems, and small isolated mini-grids.</w:t>
      </w:r>
    </w:p>
    <w:p w:rsidR="0023501F" w:rsidRPr="007F1726" w:rsidRDefault="0023501F" w:rsidP="0023501F">
      <w:pPr>
        <w:pStyle w:val="ListParagraph"/>
        <w:spacing w:after="0"/>
        <w:jc w:val="both"/>
        <w:rPr>
          <w:rFonts w:ascii="Times New Roman" w:hAnsi="Times New Roman" w:cs="Times New Roman"/>
          <w:sz w:val="32"/>
          <w:szCs w:val="32"/>
        </w:rPr>
      </w:pPr>
    </w:p>
    <w:p w:rsidR="00796DB8" w:rsidRPr="007F1726" w:rsidRDefault="00796DB8" w:rsidP="0023501F">
      <w:pPr>
        <w:pStyle w:val="NormalWeb"/>
        <w:numPr>
          <w:ilvl w:val="0"/>
          <w:numId w:val="2"/>
        </w:numPr>
        <w:spacing w:before="0" w:beforeAutospacing="0" w:after="0" w:afterAutospacing="0"/>
        <w:jc w:val="both"/>
        <w:rPr>
          <w:sz w:val="32"/>
          <w:szCs w:val="32"/>
        </w:rPr>
      </w:pPr>
      <w:r w:rsidRPr="007F1726">
        <w:rPr>
          <w:rStyle w:val="Strong"/>
          <w:sz w:val="32"/>
          <w:szCs w:val="32"/>
        </w:rPr>
        <w:t>Affordable Electricity Rates:</w:t>
      </w:r>
      <w:r w:rsidRPr="007F1726">
        <w:rPr>
          <w:sz w:val="32"/>
          <w:szCs w:val="32"/>
        </w:rPr>
        <w:t xml:space="preserve"> We have achieved a target of 5 US cents per kilo-Watt hour of electricity consumed by manufacturers during off-peak hours for extra-large consumers. Additionally, a cooking tariff of UGX 412/kWh for domestic electricity consumers has been introduced. The rebate system for industrial electricity consumers provides reimbursement for the cost of design, finance, and construction of electricity distribution infrastructure.</w:t>
      </w:r>
    </w:p>
    <w:p w:rsidR="0023501F" w:rsidRPr="007F1726" w:rsidRDefault="0023501F" w:rsidP="0023501F">
      <w:pPr>
        <w:pStyle w:val="ListParagraph"/>
        <w:spacing w:after="0"/>
        <w:jc w:val="both"/>
        <w:rPr>
          <w:rFonts w:ascii="Times New Roman" w:hAnsi="Times New Roman" w:cs="Times New Roman"/>
          <w:sz w:val="32"/>
          <w:szCs w:val="32"/>
        </w:rPr>
      </w:pPr>
    </w:p>
    <w:p w:rsidR="00796DB8" w:rsidRPr="007F1726" w:rsidRDefault="00796DB8" w:rsidP="0023501F">
      <w:pPr>
        <w:pStyle w:val="NormalWeb"/>
        <w:numPr>
          <w:ilvl w:val="0"/>
          <w:numId w:val="2"/>
        </w:numPr>
        <w:spacing w:before="0" w:beforeAutospacing="0" w:after="0" w:afterAutospacing="0"/>
        <w:jc w:val="both"/>
        <w:rPr>
          <w:sz w:val="32"/>
          <w:szCs w:val="32"/>
        </w:rPr>
      </w:pPr>
      <w:r w:rsidRPr="007F1726">
        <w:rPr>
          <w:rStyle w:val="Strong"/>
          <w:sz w:val="32"/>
          <w:szCs w:val="32"/>
        </w:rPr>
        <w:t>Energy Transition Plan:</w:t>
      </w:r>
      <w:r w:rsidRPr="007F1726">
        <w:rPr>
          <w:sz w:val="32"/>
          <w:szCs w:val="32"/>
        </w:rPr>
        <w:t xml:space="preserve"> As part of the Energy Transition Plan, electricity will play a central role in shaping our energy mix, aiming </w:t>
      </w:r>
      <w:r w:rsidRPr="007F1726">
        <w:rPr>
          <w:sz w:val="32"/>
          <w:szCs w:val="32"/>
        </w:rPr>
        <w:lastRenderedPageBreak/>
        <w:t>for a low-carbon and climate-resilient economy in line with the Paris Agreement and Uganda’s Nationally Determined Contribution. The government supports industrialists in improving energy efficiency through energy audits, aiming to phase out obsolete technologies.</w:t>
      </w:r>
    </w:p>
    <w:p w:rsidR="0023501F" w:rsidRPr="007F1726" w:rsidRDefault="0023501F" w:rsidP="0023501F">
      <w:pPr>
        <w:pStyle w:val="ListParagraph"/>
        <w:spacing w:after="0"/>
        <w:jc w:val="both"/>
        <w:rPr>
          <w:rFonts w:ascii="Times New Roman" w:hAnsi="Times New Roman" w:cs="Times New Roman"/>
          <w:sz w:val="32"/>
          <w:szCs w:val="32"/>
        </w:rPr>
      </w:pPr>
    </w:p>
    <w:p w:rsidR="00262A16" w:rsidRPr="007F1726" w:rsidRDefault="00796DB8" w:rsidP="00262A16">
      <w:pPr>
        <w:pStyle w:val="NormalWeb"/>
        <w:numPr>
          <w:ilvl w:val="0"/>
          <w:numId w:val="2"/>
        </w:numPr>
        <w:spacing w:before="0" w:beforeAutospacing="0" w:after="240" w:afterAutospacing="0"/>
        <w:jc w:val="both"/>
        <w:rPr>
          <w:sz w:val="32"/>
          <w:szCs w:val="32"/>
        </w:rPr>
      </w:pPr>
      <w:r w:rsidRPr="007F1726">
        <w:rPr>
          <w:rStyle w:val="Strong"/>
          <w:sz w:val="32"/>
          <w:szCs w:val="32"/>
        </w:rPr>
        <w:t>Promotion of Electric Mobility:</w:t>
      </w:r>
      <w:r w:rsidRPr="007F1726">
        <w:rPr>
          <w:sz w:val="32"/>
          <w:szCs w:val="32"/>
        </w:rPr>
        <w:t xml:space="preserve"> We are also keen on promoting electric mobility, </w:t>
      </w:r>
      <w:r w:rsidR="0049004F" w:rsidRPr="007F1726">
        <w:rPr>
          <w:sz w:val="32"/>
          <w:szCs w:val="32"/>
        </w:rPr>
        <w:t xml:space="preserve">and </w:t>
      </w:r>
      <w:r w:rsidRPr="007F1726">
        <w:rPr>
          <w:sz w:val="32"/>
          <w:szCs w:val="32"/>
        </w:rPr>
        <w:t xml:space="preserve">developing a strategy and </w:t>
      </w:r>
      <w:r w:rsidR="0049004F" w:rsidRPr="007F1726">
        <w:rPr>
          <w:sz w:val="32"/>
          <w:szCs w:val="32"/>
        </w:rPr>
        <w:t>master plan</w:t>
      </w:r>
      <w:r w:rsidRPr="007F1726">
        <w:rPr>
          <w:sz w:val="32"/>
          <w:szCs w:val="32"/>
        </w:rPr>
        <w:t xml:space="preserve"> for electric vehicle charging infrastructure.</w:t>
      </w:r>
      <w:r w:rsidR="0049004F" w:rsidRPr="007F1726">
        <w:rPr>
          <w:sz w:val="32"/>
          <w:szCs w:val="32"/>
        </w:rPr>
        <w:t xml:space="preserve"> To promote the adoption of cleaner and more efficient transport technologies, the Ministry has embarked on the development of electric vehicle charging infrastructure. So far a charging station for electric cars has been installed at the Ministry headquarters. In addition to this, a regulatory framework for setting up electric vehicle charging stations is being developed.</w:t>
      </w:r>
    </w:p>
    <w:p w:rsidR="00262A16" w:rsidRPr="007F1726" w:rsidRDefault="00262A16" w:rsidP="00262A16">
      <w:pPr>
        <w:pStyle w:val="NormalWeb"/>
        <w:numPr>
          <w:ilvl w:val="0"/>
          <w:numId w:val="2"/>
        </w:numPr>
        <w:spacing w:before="0" w:beforeAutospacing="0" w:after="240" w:afterAutospacing="0"/>
        <w:jc w:val="both"/>
        <w:rPr>
          <w:sz w:val="32"/>
          <w:szCs w:val="32"/>
        </w:rPr>
      </w:pPr>
      <w:r w:rsidRPr="007F1726">
        <w:rPr>
          <w:b/>
          <w:bCs/>
          <w:sz w:val="32"/>
          <w:szCs w:val="32"/>
          <w:lang w:val="en-GB"/>
        </w:rPr>
        <w:t>Fuel Blending:</w:t>
      </w:r>
      <w:r w:rsidRPr="007F1726">
        <w:rPr>
          <w:bCs/>
          <w:sz w:val="32"/>
          <w:szCs w:val="32"/>
          <w:lang w:val="en-GB"/>
        </w:rPr>
        <w:t xml:space="preserve"> Under the NRM Manifesto 2021-2026, Government planned to implement the introduction of a 10% bioethanol blending program and policy by the 2</w:t>
      </w:r>
      <w:r w:rsidRPr="007F1726">
        <w:rPr>
          <w:bCs/>
          <w:sz w:val="32"/>
          <w:szCs w:val="32"/>
          <w:vertAlign w:val="superscript"/>
          <w:lang w:val="en-GB"/>
        </w:rPr>
        <w:t>nd</w:t>
      </w:r>
      <w:r w:rsidRPr="007F1726">
        <w:rPr>
          <w:bCs/>
          <w:sz w:val="32"/>
          <w:szCs w:val="32"/>
          <w:lang w:val="en-GB"/>
        </w:rPr>
        <w:t xml:space="preserve"> year. </w:t>
      </w:r>
      <w:r w:rsidRPr="007F1726">
        <w:rPr>
          <w:bCs/>
          <w:sz w:val="32"/>
          <w:szCs w:val="32"/>
        </w:rPr>
        <w:t xml:space="preserve"> </w:t>
      </w:r>
      <w:r w:rsidRPr="007F1726">
        <w:rPr>
          <w:bCs/>
          <w:sz w:val="32"/>
          <w:szCs w:val="32"/>
          <w:lang w:val="en-GB"/>
        </w:rPr>
        <w:t>A comprehensive legal framework for the production, storage, transportation of biofuels; and blending of biofuels with fossil fuels is now in place, including gazetting of the Licensing Authority, and finalisation of the draft Licensing Guidelines.</w:t>
      </w:r>
    </w:p>
    <w:p w:rsidR="00262A16" w:rsidRPr="007F1726" w:rsidRDefault="00262A16" w:rsidP="00262A16">
      <w:pPr>
        <w:spacing w:after="0" w:line="240" w:lineRule="auto"/>
        <w:jc w:val="both"/>
        <w:rPr>
          <w:rFonts w:ascii="Times New Roman" w:hAnsi="Times New Roman" w:cs="Times New Roman"/>
          <w:bCs/>
          <w:sz w:val="32"/>
          <w:szCs w:val="32"/>
          <w:lang w:val="en-GB"/>
        </w:rPr>
      </w:pPr>
    </w:p>
    <w:p w:rsidR="00262A16" w:rsidRPr="007F1726" w:rsidRDefault="00262A16" w:rsidP="007F1726">
      <w:pPr>
        <w:ind w:left="720"/>
        <w:jc w:val="both"/>
        <w:rPr>
          <w:rFonts w:ascii="Times New Roman" w:hAnsi="Times New Roman" w:cs="Times New Roman"/>
          <w:bCs/>
          <w:sz w:val="32"/>
          <w:szCs w:val="32"/>
        </w:rPr>
      </w:pPr>
      <w:r w:rsidRPr="007F1726">
        <w:rPr>
          <w:rFonts w:ascii="Times New Roman" w:hAnsi="Times New Roman" w:cs="Times New Roman"/>
          <w:bCs/>
          <w:sz w:val="32"/>
          <w:szCs w:val="32"/>
        </w:rPr>
        <w:t>The Ministry has established two operational Committees to provide support for the development of a sustainable and successful biofuels program, which include:</w:t>
      </w:r>
    </w:p>
    <w:p w:rsidR="007F1726" w:rsidRPr="007F1726" w:rsidRDefault="00262A16" w:rsidP="00AD013F">
      <w:pPr>
        <w:pStyle w:val="ListParagraph"/>
        <w:numPr>
          <w:ilvl w:val="0"/>
          <w:numId w:val="6"/>
        </w:numPr>
        <w:spacing w:after="0" w:line="240" w:lineRule="auto"/>
        <w:jc w:val="both"/>
        <w:rPr>
          <w:rFonts w:ascii="Times New Roman" w:hAnsi="Times New Roman" w:cs="Times New Roman"/>
          <w:bCs/>
          <w:sz w:val="32"/>
          <w:szCs w:val="32"/>
        </w:rPr>
      </w:pPr>
      <w:r w:rsidRPr="007F1726">
        <w:rPr>
          <w:rFonts w:ascii="Times New Roman" w:hAnsi="Times New Roman" w:cs="Times New Roman"/>
          <w:bCs/>
          <w:sz w:val="32"/>
          <w:szCs w:val="32"/>
        </w:rPr>
        <w:t>The National Biofuels Committee (NBC), composed of the Private Sector – Oil Companies (OMCs) and Biofuel Producers, and relevant MDAs</w:t>
      </w:r>
      <w:r w:rsidRPr="007F1726">
        <w:rPr>
          <w:rFonts w:ascii="Times New Roman" w:hAnsi="Times New Roman" w:cs="Times New Roman"/>
          <w:bCs/>
          <w:sz w:val="32"/>
          <w:szCs w:val="32"/>
          <w:lang w:val="en-GB"/>
        </w:rPr>
        <w:t xml:space="preserve"> to provide strategic guidance to the biofuels industry and blending program. </w:t>
      </w:r>
    </w:p>
    <w:p w:rsidR="007F1726" w:rsidRPr="007F1726" w:rsidRDefault="00262A16" w:rsidP="00AD013F">
      <w:pPr>
        <w:pStyle w:val="ListParagraph"/>
        <w:numPr>
          <w:ilvl w:val="0"/>
          <w:numId w:val="6"/>
        </w:numPr>
        <w:spacing w:after="0" w:line="240" w:lineRule="auto"/>
        <w:jc w:val="both"/>
        <w:rPr>
          <w:rFonts w:ascii="Times New Roman" w:hAnsi="Times New Roman" w:cs="Times New Roman"/>
          <w:bCs/>
          <w:sz w:val="32"/>
          <w:szCs w:val="32"/>
        </w:rPr>
      </w:pPr>
      <w:r w:rsidRPr="007F1726">
        <w:rPr>
          <w:rFonts w:ascii="Times New Roman" w:hAnsi="Times New Roman" w:cs="Times New Roman"/>
          <w:bCs/>
          <w:sz w:val="32"/>
          <w:szCs w:val="32"/>
          <w:lang w:val="en-GB"/>
        </w:rPr>
        <w:t>The Internal Technical Committee (ITC) composed of technical staff from PSD, SPPAD, Communications Division, and RED to ensure effective coordination and teamwork within the Ministry.</w:t>
      </w:r>
    </w:p>
    <w:p w:rsidR="00262A16" w:rsidRDefault="00262A16" w:rsidP="00AD013F">
      <w:pPr>
        <w:pStyle w:val="ListParagraph"/>
        <w:numPr>
          <w:ilvl w:val="0"/>
          <w:numId w:val="6"/>
        </w:numPr>
        <w:spacing w:after="0" w:line="240" w:lineRule="auto"/>
        <w:jc w:val="both"/>
        <w:rPr>
          <w:rFonts w:ascii="Times New Roman" w:hAnsi="Times New Roman" w:cs="Times New Roman"/>
          <w:bCs/>
          <w:sz w:val="32"/>
          <w:szCs w:val="32"/>
        </w:rPr>
      </w:pPr>
      <w:r w:rsidRPr="007F1726">
        <w:rPr>
          <w:rFonts w:ascii="Times New Roman" w:hAnsi="Times New Roman" w:cs="Times New Roman"/>
          <w:bCs/>
          <w:sz w:val="32"/>
          <w:szCs w:val="32"/>
        </w:rPr>
        <w:lastRenderedPageBreak/>
        <w:t xml:space="preserve">Licensing Office: A Licensing Officer (Commissioner, Renewable Energy) was </w:t>
      </w:r>
      <w:proofErr w:type="spellStart"/>
      <w:r w:rsidRPr="007F1726">
        <w:rPr>
          <w:rFonts w:ascii="Times New Roman" w:hAnsi="Times New Roman" w:cs="Times New Roman"/>
          <w:bCs/>
          <w:sz w:val="32"/>
          <w:szCs w:val="32"/>
        </w:rPr>
        <w:t>gazetted</w:t>
      </w:r>
      <w:proofErr w:type="spellEnd"/>
      <w:r w:rsidRPr="007F1726">
        <w:rPr>
          <w:rFonts w:ascii="Times New Roman" w:hAnsi="Times New Roman" w:cs="Times New Roman"/>
          <w:bCs/>
          <w:sz w:val="32"/>
          <w:szCs w:val="32"/>
        </w:rPr>
        <w:t xml:space="preserve"> and a Licensing Office has been created to support the physical and functional process for licensing.</w:t>
      </w:r>
    </w:p>
    <w:p w:rsidR="00AD013F" w:rsidRDefault="00AD013F" w:rsidP="00AD013F">
      <w:pPr>
        <w:spacing w:after="0" w:line="240" w:lineRule="auto"/>
        <w:jc w:val="both"/>
        <w:rPr>
          <w:rFonts w:ascii="Times New Roman" w:hAnsi="Times New Roman" w:cs="Times New Roman"/>
          <w:bCs/>
          <w:sz w:val="32"/>
          <w:szCs w:val="32"/>
        </w:rPr>
      </w:pPr>
    </w:p>
    <w:p w:rsidR="00AD013F" w:rsidRPr="00AD013F" w:rsidRDefault="00AD013F" w:rsidP="00AD013F">
      <w:pPr>
        <w:pStyle w:val="ListParagraph"/>
        <w:numPr>
          <w:ilvl w:val="0"/>
          <w:numId w:val="5"/>
        </w:numPr>
        <w:spacing w:after="0" w:line="240" w:lineRule="auto"/>
        <w:ind w:left="1080"/>
        <w:jc w:val="both"/>
        <w:rPr>
          <w:rFonts w:ascii="Times New Roman" w:hAnsi="Times New Roman" w:cs="Times New Roman"/>
          <w:bCs/>
          <w:sz w:val="32"/>
          <w:szCs w:val="32"/>
        </w:rPr>
      </w:pPr>
      <w:r w:rsidRPr="00AD013F">
        <w:rPr>
          <w:rFonts w:ascii="Times New Roman" w:hAnsi="Times New Roman" w:cs="Times New Roman"/>
          <w:b/>
          <w:bCs/>
          <w:sz w:val="32"/>
          <w:szCs w:val="32"/>
        </w:rPr>
        <w:t>Nuclear Energy:</w:t>
      </w:r>
      <w:r w:rsidRPr="00AD013F">
        <w:rPr>
          <w:rFonts w:ascii="Times New Roman" w:hAnsi="Times New Roman" w:cs="Times New Roman"/>
          <w:bCs/>
          <w:sz w:val="32"/>
          <w:szCs w:val="32"/>
        </w:rPr>
        <w:t xml:space="preserve"> Additionally, the government is promoting Nuclear energy. Preparatory activities for the 8400MWe Nuclear Power Plant in </w:t>
      </w:r>
      <w:proofErr w:type="spellStart"/>
      <w:r w:rsidRPr="00AD013F">
        <w:rPr>
          <w:rFonts w:ascii="Times New Roman" w:hAnsi="Times New Roman" w:cs="Times New Roman"/>
          <w:bCs/>
          <w:sz w:val="32"/>
          <w:szCs w:val="32"/>
        </w:rPr>
        <w:t>Buyende</w:t>
      </w:r>
      <w:proofErr w:type="spellEnd"/>
      <w:r w:rsidRPr="00AD013F">
        <w:rPr>
          <w:rFonts w:ascii="Times New Roman" w:hAnsi="Times New Roman" w:cs="Times New Roman"/>
          <w:bCs/>
          <w:sz w:val="32"/>
          <w:szCs w:val="32"/>
        </w:rPr>
        <w:t xml:space="preserve"> District are ongoing and Nuclear Training </w:t>
      </w:r>
      <w:proofErr w:type="spellStart"/>
      <w:r w:rsidRPr="00AD013F">
        <w:rPr>
          <w:rFonts w:ascii="Times New Roman" w:hAnsi="Times New Roman" w:cs="Times New Roman"/>
          <w:bCs/>
          <w:sz w:val="32"/>
          <w:szCs w:val="32"/>
        </w:rPr>
        <w:t>programme</w:t>
      </w:r>
      <w:proofErr w:type="spellEnd"/>
      <w:r w:rsidRPr="00AD013F">
        <w:rPr>
          <w:rFonts w:ascii="Times New Roman" w:hAnsi="Times New Roman" w:cs="Times New Roman"/>
          <w:bCs/>
          <w:sz w:val="32"/>
          <w:szCs w:val="32"/>
        </w:rPr>
        <w:t xml:space="preserve"> is being set up at </w:t>
      </w:r>
      <w:proofErr w:type="spellStart"/>
      <w:r w:rsidRPr="00AD013F">
        <w:rPr>
          <w:rFonts w:ascii="Times New Roman" w:hAnsi="Times New Roman" w:cs="Times New Roman"/>
          <w:bCs/>
          <w:sz w:val="32"/>
          <w:szCs w:val="32"/>
        </w:rPr>
        <w:t>Soroti</w:t>
      </w:r>
      <w:proofErr w:type="spellEnd"/>
      <w:r w:rsidRPr="00AD013F">
        <w:rPr>
          <w:rFonts w:ascii="Times New Roman" w:hAnsi="Times New Roman" w:cs="Times New Roman"/>
          <w:bCs/>
          <w:sz w:val="32"/>
          <w:szCs w:val="32"/>
        </w:rPr>
        <w:t xml:space="preserve"> University.</w:t>
      </w:r>
    </w:p>
    <w:p w:rsidR="00AD013F" w:rsidRPr="00AD013F" w:rsidRDefault="00AD013F" w:rsidP="00AD013F">
      <w:pPr>
        <w:spacing w:after="0" w:line="240" w:lineRule="auto"/>
        <w:jc w:val="both"/>
        <w:rPr>
          <w:rFonts w:ascii="Times New Roman" w:hAnsi="Times New Roman" w:cs="Times New Roman"/>
          <w:bCs/>
          <w:sz w:val="32"/>
          <w:szCs w:val="32"/>
        </w:rPr>
      </w:pPr>
    </w:p>
    <w:sectPr w:rsidR="00AD013F" w:rsidRPr="00AD01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31A"/>
    <w:multiLevelType w:val="hybridMultilevel"/>
    <w:tmpl w:val="8596705A"/>
    <w:lvl w:ilvl="0" w:tplc="4C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437C07"/>
    <w:multiLevelType w:val="hybridMultilevel"/>
    <w:tmpl w:val="C1CADC48"/>
    <w:lvl w:ilvl="0" w:tplc="20000011">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30A7043"/>
    <w:multiLevelType w:val="multilevel"/>
    <w:tmpl w:val="F08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67DA5"/>
    <w:multiLevelType w:val="hybridMultilevel"/>
    <w:tmpl w:val="C6203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71407D8"/>
    <w:multiLevelType w:val="hybridMultilevel"/>
    <w:tmpl w:val="C25AA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E173B"/>
    <w:multiLevelType w:val="hybridMultilevel"/>
    <w:tmpl w:val="4A285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03"/>
    <w:rsid w:val="00054EBF"/>
    <w:rsid w:val="000C369E"/>
    <w:rsid w:val="000E4F3A"/>
    <w:rsid w:val="00165EBD"/>
    <w:rsid w:val="001B4D70"/>
    <w:rsid w:val="001C635B"/>
    <w:rsid w:val="0023501F"/>
    <w:rsid w:val="00262A16"/>
    <w:rsid w:val="003C2F65"/>
    <w:rsid w:val="0049004F"/>
    <w:rsid w:val="00546F6F"/>
    <w:rsid w:val="0057242E"/>
    <w:rsid w:val="006E77B8"/>
    <w:rsid w:val="00796DB8"/>
    <w:rsid w:val="007F1726"/>
    <w:rsid w:val="00AD013F"/>
    <w:rsid w:val="00AF01C3"/>
    <w:rsid w:val="00B00DC0"/>
    <w:rsid w:val="00BE04A1"/>
    <w:rsid w:val="00C86C03"/>
    <w:rsid w:val="00CE6D7D"/>
    <w:rsid w:val="00D171B6"/>
    <w:rsid w:val="00D57148"/>
    <w:rsid w:val="00F01D11"/>
    <w:rsid w:val="00F548BE"/>
    <w:rsid w:val="00F71262"/>
    <w:rsid w:val="00FB0FCF"/>
    <w:rsid w:val="00FC2B47"/>
    <w:rsid w:val="00FF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A94CB2-7FA5-4AC8-A0C3-4AAE8D07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6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C03"/>
    <w:rPr>
      <w:rFonts w:ascii="Times New Roman" w:eastAsia="Times New Roman" w:hAnsi="Times New Roman" w:cs="Times New Roman"/>
      <w:b/>
      <w:bCs/>
      <w:sz w:val="27"/>
      <w:szCs w:val="27"/>
    </w:rPr>
  </w:style>
  <w:style w:type="paragraph" w:styleId="NormalWeb">
    <w:name w:val="Normal (Web)"/>
    <w:basedOn w:val="Normal"/>
    <w:uiPriority w:val="99"/>
    <w:unhideWhenUsed/>
    <w:rsid w:val="00C86C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C03"/>
    <w:rPr>
      <w:b/>
      <w:bCs/>
    </w:rPr>
  </w:style>
  <w:style w:type="character" w:styleId="Hyperlink">
    <w:name w:val="Hyperlink"/>
    <w:basedOn w:val="DefaultParagraphFont"/>
    <w:uiPriority w:val="99"/>
    <w:unhideWhenUsed/>
    <w:rsid w:val="00D171B6"/>
    <w:rPr>
      <w:color w:val="0563C1" w:themeColor="hyperlink"/>
      <w:u w:val="single"/>
    </w:rPr>
  </w:style>
  <w:style w:type="paragraph" w:styleId="BodyText">
    <w:name w:val="Body Text"/>
    <w:basedOn w:val="Normal"/>
    <w:link w:val="BodyTextChar"/>
    <w:uiPriority w:val="99"/>
    <w:unhideWhenUsed/>
    <w:rsid w:val="00D171B6"/>
    <w:pPr>
      <w:jc w:val="both"/>
    </w:pPr>
  </w:style>
  <w:style w:type="character" w:customStyle="1" w:styleId="BodyTextChar">
    <w:name w:val="Body Text Char"/>
    <w:basedOn w:val="DefaultParagraphFont"/>
    <w:link w:val="BodyText"/>
    <w:uiPriority w:val="99"/>
    <w:rsid w:val="00D171B6"/>
  </w:style>
  <w:style w:type="paragraph" w:styleId="NoSpacing">
    <w:name w:val="No Spacing"/>
    <w:link w:val="NoSpacingChar"/>
    <w:uiPriority w:val="1"/>
    <w:qFormat/>
    <w:rsid w:val="00D171B6"/>
    <w:pPr>
      <w:spacing w:after="0" w:line="240" w:lineRule="auto"/>
    </w:pPr>
  </w:style>
  <w:style w:type="character" w:customStyle="1" w:styleId="NoSpacingChar">
    <w:name w:val="No Spacing Char"/>
    <w:basedOn w:val="DefaultParagraphFont"/>
    <w:link w:val="NoSpacing"/>
    <w:uiPriority w:val="1"/>
    <w:rsid w:val="00D171B6"/>
  </w:style>
  <w:style w:type="character" w:customStyle="1" w:styleId="line-clamp-1">
    <w:name w:val="line-clamp-1"/>
    <w:basedOn w:val="DefaultParagraphFont"/>
    <w:rsid w:val="003C2F65"/>
  </w:style>
  <w:style w:type="paragraph" w:styleId="ListParagraph">
    <w:name w:val="List Paragraph"/>
    <w:basedOn w:val="Normal"/>
    <w:uiPriority w:val="34"/>
    <w:qFormat/>
    <w:rsid w:val="00235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8024">
      <w:bodyDiv w:val="1"/>
      <w:marLeft w:val="0"/>
      <w:marRight w:val="0"/>
      <w:marTop w:val="0"/>
      <w:marBottom w:val="0"/>
      <w:divBdr>
        <w:top w:val="none" w:sz="0" w:space="0" w:color="auto"/>
        <w:left w:val="none" w:sz="0" w:space="0" w:color="auto"/>
        <w:bottom w:val="none" w:sz="0" w:space="0" w:color="auto"/>
        <w:right w:val="none" w:sz="0" w:space="0" w:color="auto"/>
      </w:divBdr>
    </w:div>
    <w:div w:id="1667434374">
      <w:bodyDiv w:val="1"/>
      <w:marLeft w:val="0"/>
      <w:marRight w:val="0"/>
      <w:marTop w:val="0"/>
      <w:marBottom w:val="0"/>
      <w:divBdr>
        <w:top w:val="none" w:sz="0" w:space="0" w:color="auto"/>
        <w:left w:val="none" w:sz="0" w:space="0" w:color="auto"/>
        <w:bottom w:val="none" w:sz="0" w:space="0" w:color="auto"/>
        <w:right w:val="none" w:sz="0" w:space="0" w:color="auto"/>
      </w:divBdr>
    </w:div>
    <w:div w:id="1955283487">
      <w:bodyDiv w:val="1"/>
      <w:marLeft w:val="0"/>
      <w:marRight w:val="0"/>
      <w:marTop w:val="0"/>
      <w:marBottom w:val="0"/>
      <w:divBdr>
        <w:top w:val="none" w:sz="0" w:space="0" w:color="auto"/>
        <w:left w:val="none" w:sz="0" w:space="0" w:color="auto"/>
        <w:bottom w:val="none" w:sz="0" w:space="0" w:color="auto"/>
        <w:right w:val="none" w:sz="0" w:space="0" w:color="auto"/>
      </w:divBdr>
      <w:divsChild>
        <w:div w:id="1302153096">
          <w:marLeft w:val="0"/>
          <w:marRight w:val="0"/>
          <w:marTop w:val="0"/>
          <w:marBottom w:val="0"/>
          <w:divBdr>
            <w:top w:val="none" w:sz="0" w:space="0" w:color="auto"/>
            <w:left w:val="none" w:sz="0" w:space="0" w:color="auto"/>
            <w:bottom w:val="none" w:sz="0" w:space="0" w:color="auto"/>
            <w:right w:val="none" w:sz="0" w:space="0" w:color="auto"/>
          </w:divBdr>
          <w:divsChild>
            <w:div w:id="1472865515">
              <w:marLeft w:val="0"/>
              <w:marRight w:val="0"/>
              <w:marTop w:val="0"/>
              <w:marBottom w:val="0"/>
              <w:divBdr>
                <w:top w:val="none" w:sz="0" w:space="0" w:color="auto"/>
                <w:left w:val="none" w:sz="0" w:space="0" w:color="auto"/>
                <w:bottom w:val="none" w:sz="0" w:space="0" w:color="auto"/>
                <w:right w:val="none" w:sz="0" w:space="0" w:color="auto"/>
              </w:divBdr>
              <w:divsChild>
                <w:div w:id="1566600882">
                  <w:marLeft w:val="0"/>
                  <w:marRight w:val="0"/>
                  <w:marTop w:val="0"/>
                  <w:marBottom w:val="0"/>
                  <w:divBdr>
                    <w:top w:val="none" w:sz="0" w:space="0" w:color="auto"/>
                    <w:left w:val="none" w:sz="0" w:space="0" w:color="auto"/>
                    <w:bottom w:val="none" w:sz="0" w:space="0" w:color="auto"/>
                    <w:right w:val="none" w:sz="0" w:space="0" w:color="auto"/>
                  </w:divBdr>
                  <w:divsChild>
                    <w:div w:id="14104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7914">
          <w:marLeft w:val="0"/>
          <w:marRight w:val="0"/>
          <w:marTop w:val="0"/>
          <w:marBottom w:val="0"/>
          <w:divBdr>
            <w:top w:val="none" w:sz="0" w:space="0" w:color="auto"/>
            <w:left w:val="none" w:sz="0" w:space="0" w:color="auto"/>
            <w:bottom w:val="none" w:sz="0" w:space="0" w:color="auto"/>
            <w:right w:val="none" w:sz="0" w:space="0" w:color="auto"/>
          </w:divBdr>
          <w:divsChild>
            <w:div w:id="977952874">
              <w:marLeft w:val="0"/>
              <w:marRight w:val="0"/>
              <w:marTop w:val="0"/>
              <w:marBottom w:val="0"/>
              <w:divBdr>
                <w:top w:val="none" w:sz="0" w:space="0" w:color="auto"/>
                <w:left w:val="none" w:sz="0" w:space="0" w:color="auto"/>
                <w:bottom w:val="none" w:sz="0" w:space="0" w:color="auto"/>
                <w:right w:val="none" w:sz="0" w:space="0" w:color="auto"/>
              </w:divBdr>
              <w:divsChild>
                <w:div w:id="507410262">
                  <w:marLeft w:val="0"/>
                  <w:marRight w:val="0"/>
                  <w:marTop w:val="0"/>
                  <w:marBottom w:val="0"/>
                  <w:divBdr>
                    <w:top w:val="none" w:sz="0" w:space="0" w:color="auto"/>
                    <w:left w:val="none" w:sz="0" w:space="0" w:color="auto"/>
                    <w:bottom w:val="none" w:sz="0" w:space="0" w:color="auto"/>
                    <w:right w:val="none" w:sz="0" w:space="0" w:color="auto"/>
                  </w:divBdr>
                  <w:divsChild>
                    <w:div w:id="15427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itho@energy.go.u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Tonny</cp:lastModifiedBy>
  <cp:revision>2</cp:revision>
  <dcterms:created xsi:type="dcterms:W3CDTF">2024-07-05T06:19:00Z</dcterms:created>
  <dcterms:modified xsi:type="dcterms:W3CDTF">2024-07-05T06:19:00Z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56d79ca7-26da-414f-9ae7-4c9d07852ffa</vt:lpwstr>
  </property>
</Properties>
</file>